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80" w:lineRule="exact"/>
        <w:jc w:val="left"/>
        <w:rPr>
          <w:rFonts w:ascii="仿宋_GB2312" w:hAnsi="仿宋_GB2312" w:eastAsia="仿宋_GB2312" w:cs="仿宋_GB2312"/>
          <w:sz w:val="32"/>
          <w:szCs w:val="32"/>
        </w:rPr>
      </w:pPr>
      <w:bookmarkStart w:id="0" w:name="_GoBack"/>
      <w:bookmarkEnd w:id="0"/>
      <w:r>
        <w:rPr>
          <w:rFonts w:hint="eastAsia" w:ascii="仿宋_GB2312" w:hAnsi="仿宋_GB2312" w:eastAsia="仿宋_GB2312" w:cs="仿宋_GB2312"/>
          <w:spacing w:val="-4"/>
          <w:sz w:val="32"/>
          <w:szCs w:val="32"/>
        </w:rPr>
        <w:t>附件1</w:t>
      </w:r>
    </w:p>
    <w:p>
      <w:pPr>
        <w:spacing w:line="440" w:lineRule="exact"/>
        <w:jc w:val="center"/>
        <w:rPr>
          <w:rFonts w:eastAsia="Times New Roman"/>
          <w:spacing w:val="8"/>
          <w:sz w:val="35"/>
          <w:szCs w:val="35"/>
        </w:rPr>
      </w:pPr>
    </w:p>
    <w:p>
      <w:pPr>
        <w:spacing w:line="580" w:lineRule="exact"/>
        <w:jc w:val="center"/>
        <w:rPr>
          <w:rFonts w:ascii="方正小标宋简体" w:hAnsi="方正小标宋简体" w:eastAsia="方正小标宋简体" w:cs="方正小标宋简体"/>
          <w:spacing w:val="8"/>
          <w:sz w:val="44"/>
          <w:szCs w:val="44"/>
        </w:rPr>
      </w:pPr>
      <w:r>
        <w:rPr>
          <w:rFonts w:hint="eastAsia" w:ascii="方正小标宋简体" w:hAnsi="方正小标宋简体" w:eastAsia="方正小标宋简体" w:cs="方正小标宋简体"/>
          <w:spacing w:val="8"/>
          <w:sz w:val="44"/>
          <w:szCs w:val="44"/>
        </w:rPr>
        <w:t>2023年度财政重点评价项目清单</w:t>
      </w:r>
    </w:p>
    <w:p>
      <w:pPr>
        <w:spacing w:line="580" w:lineRule="exact"/>
        <w:rPr>
          <w:rFonts w:ascii="微软雅黑" w:hAnsi="微软雅黑" w:eastAsia="微软雅黑" w:cs="微软雅黑"/>
          <w:spacing w:val="8"/>
          <w:sz w:val="35"/>
          <w:szCs w:val="35"/>
        </w:rPr>
      </w:pPr>
    </w:p>
    <w:tbl>
      <w:tblPr>
        <w:tblStyle w:val="17"/>
        <w:tblpPr w:leftFromText="180" w:rightFromText="180" w:vertAnchor="text" w:horzAnchor="page" w:tblpXSpec="center" w:tblpY="14"/>
        <w:tblOverlap w:val="never"/>
        <w:tblW w:w="8985"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0"/>
        <w:gridCol w:w="3365"/>
        <w:gridCol w:w="2838"/>
        <w:gridCol w:w="189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30" w:hRule="atLeast"/>
          <w:jc w:val="center"/>
        </w:trPr>
        <w:tc>
          <w:tcPr>
            <w:tcW w:w="890" w:type="dxa"/>
            <w:vAlign w:val="center"/>
          </w:tcPr>
          <w:p>
            <w:pPr>
              <w:jc w:val="center"/>
              <w:rPr>
                <w:rFonts w:ascii="黑体" w:hAnsi="黑体" w:eastAsia="黑体" w:cs="黑体"/>
                <w:szCs w:val="21"/>
              </w:rPr>
            </w:pPr>
            <w:r>
              <w:rPr>
                <w:rFonts w:hint="eastAsia" w:ascii="黑体" w:hAnsi="黑体" w:eastAsia="黑体" w:cs="黑体"/>
                <w:szCs w:val="21"/>
              </w:rPr>
              <w:t>序号</w:t>
            </w:r>
          </w:p>
        </w:tc>
        <w:tc>
          <w:tcPr>
            <w:tcW w:w="3365" w:type="dxa"/>
            <w:vAlign w:val="center"/>
          </w:tcPr>
          <w:p>
            <w:pPr>
              <w:jc w:val="center"/>
              <w:rPr>
                <w:rFonts w:ascii="黑体" w:hAnsi="黑体" w:eastAsia="黑体" w:cs="黑体"/>
                <w:szCs w:val="21"/>
              </w:rPr>
            </w:pPr>
            <w:r>
              <w:rPr>
                <w:rFonts w:hint="eastAsia" w:ascii="黑体" w:hAnsi="黑体" w:eastAsia="黑体" w:cs="黑体"/>
                <w:szCs w:val="21"/>
              </w:rPr>
              <w:t>省级专项资金名称</w:t>
            </w:r>
          </w:p>
        </w:tc>
        <w:tc>
          <w:tcPr>
            <w:tcW w:w="2838" w:type="dxa"/>
            <w:vAlign w:val="center"/>
          </w:tcPr>
          <w:p>
            <w:pPr>
              <w:jc w:val="center"/>
              <w:rPr>
                <w:rFonts w:ascii="黑体" w:hAnsi="黑体" w:eastAsia="黑体" w:cs="黑体"/>
                <w:szCs w:val="21"/>
              </w:rPr>
            </w:pPr>
            <w:r>
              <w:rPr>
                <w:rFonts w:hint="eastAsia" w:ascii="黑体" w:hAnsi="黑体" w:eastAsia="黑体" w:cs="黑体"/>
                <w:szCs w:val="21"/>
              </w:rPr>
              <w:t>主管部门</w:t>
            </w:r>
          </w:p>
        </w:tc>
        <w:tc>
          <w:tcPr>
            <w:tcW w:w="1892" w:type="dxa"/>
            <w:vAlign w:val="center"/>
          </w:tcPr>
          <w:p>
            <w:pPr>
              <w:jc w:val="center"/>
              <w:rPr>
                <w:rFonts w:ascii="黑体" w:hAnsi="黑体" w:eastAsia="黑体" w:cs="黑体"/>
                <w:szCs w:val="21"/>
              </w:rPr>
            </w:pPr>
            <w:r>
              <w:rPr>
                <w:rFonts w:hint="eastAsia" w:ascii="黑体" w:hAnsi="黑体" w:eastAsia="黑体" w:cs="黑体"/>
                <w:szCs w:val="21"/>
              </w:rPr>
              <w:t>归口股室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路灯管理及维护</w:t>
            </w:r>
          </w:p>
        </w:tc>
        <w:tc>
          <w:tcPr>
            <w:tcW w:w="2838" w:type="dxa"/>
            <w:tcBorders>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县城管局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经建股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污水处理</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县住建局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债务股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垃圾处理</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县环卫中心</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经建股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公租房廉租房收支</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县住保中心</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经建股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3365" w:type="dxa"/>
            <w:tcBorders>
              <w:left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农排电费</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县供电公司</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绩效股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w:t>
            </w:r>
          </w:p>
        </w:tc>
        <w:tc>
          <w:tcPr>
            <w:tcW w:w="3365" w:type="dxa"/>
            <w:tcBorders>
              <w:top w:val="single" w:color="auto" w:sz="4" w:space="0"/>
              <w:left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食品安全抽检</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县市监局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行财股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7</w:t>
            </w:r>
          </w:p>
        </w:tc>
        <w:tc>
          <w:tcPr>
            <w:tcW w:w="3365" w:type="dxa"/>
            <w:tcBorders>
              <w:top w:val="single" w:color="auto" w:sz="4" w:space="0"/>
              <w:left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校车安全管理专项</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县教体局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教科文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p>
        </w:tc>
        <w:tc>
          <w:tcPr>
            <w:tcW w:w="3365" w:type="dxa"/>
            <w:tcBorders>
              <w:top w:val="single" w:color="auto" w:sz="4" w:space="0"/>
              <w:lef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防贫保</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县乡村振兴局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农业股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tcBorders>
              <w:top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城乡医疗救助</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县医疗保障局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社保股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林长制专职护林员工资及工作经费</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县林业局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综合股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11</w:t>
            </w:r>
          </w:p>
        </w:tc>
        <w:tc>
          <w:tcPr>
            <w:tcW w:w="3365"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原粮食企业改制遗留人员经费</w:t>
            </w:r>
          </w:p>
        </w:tc>
        <w:tc>
          <w:tcPr>
            <w:tcW w:w="2838" w:type="dxa"/>
            <w:tcBorders>
              <w:top w:val="single" w:color="auto" w:sz="4" w:space="0"/>
              <w:bottom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县商务粮食局</w:t>
            </w:r>
          </w:p>
        </w:tc>
        <w:tc>
          <w:tcPr>
            <w:tcW w:w="189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企业股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94" w:hRule="atLeast"/>
          <w:jc w:val="center"/>
        </w:trPr>
        <w:tc>
          <w:tcPr>
            <w:tcW w:w="89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12</w:t>
            </w:r>
          </w:p>
        </w:tc>
        <w:tc>
          <w:tcPr>
            <w:tcW w:w="3365" w:type="dxa"/>
            <w:tcBorders>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公车平台专项</w:t>
            </w:r>
          </w:p>
        </w:tc>
        <w:tc>
          <w:tcPr>
            <w:tcW w:w="2838"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县机关事务管理中心</w:t>
            </w:r>
          </w:p>
        </w:tc>
        <w:tc>
          <w:tcPr>
            <w:tcW w:w="1892" w:type="dxa"/>
            <w:tcBorders>
              <w:lef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资产股</w:t>
            </w:r>
          </w:p>
        </w:tc>
      </w:tr>
    </w:tbl>
    <w:p>
      <w:pPr>
        <w:spacing w:line="26" w:lineRule="exact"/>
      </w:pPr>
    </w:p>
    <w:p>
      <w:pPr>
        <w:rPr>
          <w:rFonts w:ascii="黑体" w:hAnsi="黑体" w:eastAsia="黑体" w:cs="黑体"/>
          <w:spacing w:val="-4"/>
          <w:sz w:val="31"/>
          <w:szCs w:val="31"/>
        </w:rPr>
      </w:pPr>
      <w:r>
        <w:rPr>
          <w:rFonts w:hint="eastAsia" w:ascii="黑体" w:hAnsi="黑体" w:eastAsia="黑体" w:cs="黑体"/>
          <w:sz w:val="32"/>
          <w:szCs w:val="32"/>
        </w:rPr>
        <w:br w:type="page"/>
      </w:r>
      <w:r>
        <w:rPr>
          <w:rFonts w:hint="eastAsia" w:ascii="仿宋_GB2312" w:hAnsi="仿宋_GB2312" w:eastAsia="仿宋_GB2312" w:cs="仿宋_GB2312"/>
          <w:spacing w:val="-4"/>
          <w:sz w:val="32"/>
          <w:szCs w:val="32"/>
        </w:rPr>
        <w:t>附件2</w:t>
      </w:r>
    </w:p>
    <w:p>
      <w:pPr>
        <w:spacing w:line="300" w:lineRule="exact"/>
        <w:rPr>
          <w:rFonts w:ascii="黑体" w:hAnsi="黑体" w:eastAsia="黑体" w:cs="黑体"/>
          <w:spacing w:val="-4"/>
          <w:sz w:val="31"/>
          <w:szCs w:val="31"/>
        </w:rPr>
      </w:pPr>
    </w:p>
    <w:p>
      <w:pPr>
        <w:spacing w:line="5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2023年度部门整体支出绩效评价基础数据表</w:t>
      </w:r>
    </w:p>
    <w:p>
      <w:pPr>
        <w:spacing w:line="300" w:lineRule="exact"/>
      </w:pPr>
    </w:p>
    <w:tbl>
      <w:tblPr>
        <w:tblStyle w:val="17"/>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649"/>
        <w:gridCol w:w="733"/>
        <w:gridCol w:w="966"/>
        <w:gridCol w:w="986"/>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39" w:hRule="atLeast"/>
          <w:jc w:val="center"/>
        </w:trPr>
        <w:tc>
          <w:tcPr>
            <w:tcW w:w="3649" w:type="dxa"/>
            <w:vMerge w:val="restart"/>
            <w:tcBorders>
              <w:bottom w:val="nil"/>
            </w:tcBorders>
            <w:vAlign w:val="center"/>
          </w:tcPr>
          <w:p>
            <w:pPr>
              <w:spacing w:line="300" w:lineRule="exact"/>
              <w:jc w:val="center"/>
              <w:rPr>
                <w:rFonts w:ascii="黑体" w:hAnsi="黑体" w:eastAsia="黑体" w:cs="黑体"/>
                <w:szCs w:val="21"/>
              </w:rPr>
            </w:pPr>
            <w:r>
              <w:rPr>
                <w:rFonts w:hint="eastAsia" w:ascii="黑体" w:hAnsi="黑体" w:eastAsia="黑体" w:cs="黑体"/>
                <w:szCs w:val="21"/>
              </w:rPr>
              <w:t>财政供养人员情况（人）</w:t>
            </w:r>
          </w:p>
        </w:tc>
        <w:tc>
          <w:tcPr>
            <w:tcW w:w="1699"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编制数</w:t>
            </w:r>
          </w:p>
        </w:tc>
        <w:tc>
          <w:tcPr>
            <w:tcW w:w="1972"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2023年实际</w:t>
            </w:r>
          </w:p>
          <w:p>
            <w:pPr>
              <w:spacing w:line="300" w:lineRule="exact"/>
              <w:jc w:val="center"/>
              <w:rPr>
                <w:rFonts w:ascii="黑体" w:hAnsi="黑体" w:eastAsia="黑体" w:cs="黑体"/>
                <w:szCs w:val="21"/>
              </w:rPr>
            </w:pPr>
            <w:r>
              <w:rPr>
                <w:rFonts w:hint="eastAsia" w:ascii="黑体" w:hAnsi="黑体" w:eastAsia="黑体" w:cs="黑体"/>
                <w:szCs w:val="21"/>
              </w:rPr>
              <w:t>在职人数</w:t>
            </w:r>
          </w:p>
        </w:tc>
        <w:tc>
          <w:tcPr>
            <w:tcW w:w="1957"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Merge w:val="continue"/>
            <w:tcBorders>
              <w:top w:val="nil"/>
            </w:tcBorders>
            <w:vAlign w:val="center"/>
          </w:tcPr>
          <w:p>
            <w:pPr>
              <w:spacing w:line="300" w:lineRule="exact"/>
              <w:jc w:val="center"/>
              <w:rPr>
                <w:rFonts w:ascii="黑体" w:hAnsi="黑体" w:eastAsia="黑体" w:cs="黑体"/>
                <w:szCs w:val="21"/>
              </w:rPr>
            </w:pPr>
          </w:p>
        </w:tc>
        <w:tc>
          <w:tcPr>
            <w:tcW w:w="1699" w:type="dxa"/>
            <w:gridSpan w:val="2"/>
            <w:vAlign w:val="center"/>
          </w:tcPr>
          <w:p>
            <w:pPr>
              <w:spacing w:line="300" w:lineRule="exact"/>
              <w:jc w:val="center"/>
              <w:rPr>
                <w:rFonts w:ascii="黑体" w:hAnsi="黑体" w:eastAsia="黑体" w:cs="黑体"/>
                <w:szCs w:val="21"/>
              </w:rPr>
            </w:pPr>
          </w:p>
        </w:tc>
        <w:tc>
          <w:tcPr>
            <w:tcW w:w="1972" w:type="dxa"/>
            <w:gridSpan w:val="2"/>
            <w:vAlign w:val="center"/>
          </w:tcPr>
          <w:p>
            <w:pPr>
              <w:spacing w:line="300" w:lineRule="exact"/>
              <w:jc w:val="center"/>
              <w:rPr>
                <w:rFonts w:ascii="黑体" w:hAnsi="黑体" w:eastAsia="黑体" w:cs="黑体"/>
                <w:szCs w:val="21"/>
              </w:rPr>
            </w:pPr>
          </w:p>
        </w:tc>
        <w:tc>
          <w:tcPr>
            <w:tcW w:w="1957" w:type="dxa"/>
            <w:gridSpan w:val="2"/>
            <w:vAlign w:val="center"/>
          </w:tcPr>
          <w:p>
            <w:pPr>
              <w:spacing w:line="300" w:lineRule="exact"/>
              <w:jc w:val="center"/>
              <w:rPr>
                <w:rFonts w:ascii="黑体" w:hAnsi="黑体" w:eastAsia="黑体" w:cs="黑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center"/>
              <w:rPr>
                <w:rFonts w:ascii="黑体" w:hAnsi="黑体" w:eastAsia="黑体" w:cs="黑体"/>
                <w:szCs w:val="21"/>
              </w:rPr>
            </w:pPr>
            <w:r>
              <w:rPr>
                <w:rFonts w:hint="eastAsia" w:ascii="黑体" w:hAnsi="黑体" w:eastAsia="黑体" w:cs="黑体"/>
                <w:szCs w:val="21"/>
              </w:rPr>
              <w:t>经费控制情况（万元）</w:t>
            </w:r>
          </w:p>
        </w:tc>
        <w:tc>
          <w:tcPr>
            <w:tcW w:w="1699"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2022年决算数</w:t>
            </w:r>
          </w:p>
        </w:tc>
        <w:tc>
          <w:tcPr>
            <w:tcW w:w="1972"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2023年预算数</w:t>
            </w:r>
          </w:p>
        </w:tc>
        <w:tc>
          <w:tcPr>
            <w:tcW w:w="1957" w:type="dxa"/>
            <w:gridSpan w:val="2"/>
            <w:vAlign w:val="center"/>
          </w:tcPr>
          <w:p>
            <w:pPr>
              <w:spacing w:line="300" w:lineRule="exact"/>
              <w:jc w:val="center"/>
              <w:rPr>
                <w:rFonts w:ascii="黑体" w:hAnsi="黑体" w:eastAsia="黑体" w:cs="黑体"/>
                <w:szCs w:val="21"/>
              </w:rPr>
            </w:pPr>
            <w:r>
              <w:rPr>
                <w:rFonts w:hint="eastAsia" w:ascii="黑体" w:hAnsi="黑体" w:eastAsia="黑体" w:cs="黑体"/>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三公经费：</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420" w:firstLineChars="2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1、公务用车购置和维护经费</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840" w:firstLineChars="4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其中：公车购置</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1459" w:firstLineChars="695"/>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公车运行维护</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420" w:firstLineChars="2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2、出国经费</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420" w:firstLineChars="2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3、公务接待</w:t>
            </w:r>
          </w:p>
        </w:tc>
        <w:tc>
          <w:tcPr>
            <w:tcW w:w="1699" w:type="dxa"/>
            <w:gridSpan w:val="2"/>
            <w:vAlign w:val="center"/>
          </w:tcPr>
          <w:p>
            <w:r>
              <w:rPr>
                <w:rFonts w:hint="eastAsia"/>
              </w:rPr>
              <w:t>0</w:t>
            </w:r>
          </w:p>
        </w:tc>
        <w:tc>
          <w:tcPr>
            <w:tcW w:w="1972" w:type="dxa"/>
            <w:gridSpan w:val="2"/>
            <w:vAlign w:val="center"/>
          </w:tcPr>
          <w:p>
            <w:r>
              <w:rPr>
                <w:rFonts w:hint="eastAsia"/>
              </w:rPr>
              <w:t>0</w:t>
            </w:r>
          </w:p>
        </w:tc>
        <w:tc>
          <w:tcPr>
            <w:tcW w:w="1957" w:type="dxa"/>
            <w:gridSpan w:val="2"/>
            <w:vAlign w:val="center"/>
          </w:tcPr>
          <w:p>
            <w:r>
              <w:rPr>
                <w:rFonts w:hint="eastAsia"/>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项目支出：</w:t>
            </w:r>
          </w:p>
        </w:tc>
        <w:tc>
          <w:tcPr>
            <w:tcW w:w="1699" w:type="dxa"/>
            <w:gridSpan w:val="2"/>
            <w:vAlign w:val="center"/>
          </w:tcPr>
          <w:p/>
        </w:tc>
        <w:tc>
          <w:tcPr>
            <w:tcW w:w="1972" w:type="dxa"/>
            <w:gridSpan w:val="2"/>
            <w:vAlign w:val="center"/>
          </w:tcPr>
          <w:p/>
        </w:tc>
        <w:tc>
          <w:tcPr>
            <w:tcW w:w="1957" w:type="dxa"/>
            <w:gridSpan w:val="2"/>
            <w:vAlign w:val="center"/>
          </w:tc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420" w:firstLineChars="200"/>
              <w:jc w:val="left"/>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1、</w:t>
            </w:r>
          </w:p>
        </w:tc>
        <w:tc>
          <w:tcPr>
            <w:tcW w:w="1699" w:type="dxa"/>
            <w:gridSpan w:val="2"/>
            <w:vAlign w:val="center"/>
          </w:tcPr>
          <w:p/>
        </w:tc>
        <w:tc>
          <w:tcPr>
            <w:tcW w:w="1972" w:type="dxa"/>
            <w:gridSpan w:val="2"/>
            <w:vAlign w:val="center"/>
          </w:tcPr>
          <w:p/>
        </w:tc>
        <w:tc>
          <w:tcPr>
            <w:tcW w:w="1957" w:type="dxa"/>
            <w:gridSpan w:val="2"/>
            <w:vAlign w:val="center"/>
          </w:tc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公用经费</w:t>
            </w:r>
          </w:p>
        </w:tc>
        <w:tc>
          <w:tcPr>
            <w:tcW w:w="1699" w:type="dxa"/>
            <w:gridSpan w:val="2"/>
            <w:vAlign w:val="center"/>
          </w:tcPr>
          <w:p>
            <w:r>
              <w:rPr>
                <w:rFonts w:hint="eastAsia"/>
              </w:rPr>
              <w:t>25.09</w:t>
            </w:r>
          </w:p>
        </w:tc>
        <w:tc>
          <w:tcPr>
            <w:tcW w:w="1972" w:type="dxa"/>
            <w:gridSpan w:val="2"/>
            <w:vAlign w:val="center"/>
          </w:tcPr>
          <w:p>
            <w:r>
              <w:rPr>
                <w:rFonts w:hint="eastAsia"/>
              </w:rPr>
              <w:t>29.66</w:t>
            </w:r>
          </w:p>
        </w:tc>
        <w:tc>
          <w:tcPr>
            <w:tcW w:w="1957" w:type="dxa"/>
            <w:gridSpan w:val="2"/>
            <w:vAlign w:val="center"/>
          </w:tcPr>
          <w:p>
            <w:r>
              <w:rPr>
                <w:rFonts w:hint="eastAsia"/>
              </w:rPr>
              <w:t>25.09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840" w:firstLineChars="4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其中：办公经费</w:t>
            </w:r>
          </w:p>
        </w:tc>
        <w:tc>
          <w:tcPr>
            <w:tcW w:w="1699" w:type="dxa"/>
            <w:gridSpan w:val="2"/>
            <w:vAlign w:val="center"/>
          </w:tcPr>
          <w:p>
            <w:r>
              <w:rPr>
                <w:rFonts w:hint="eastAsia"/>
              </w:rPr>
              <w:t>0.9</w:t>
            </w:r>
          </w:p>
        </w:tc>
        <w:tc>
          <w:tcPr>
            <w:tcW w:w="1972" w:type="dxa"/>
            <w:gridSpan w:val="2"/>
            <w:vAlign w:val="center"/>
          </w:tcPr>
          <w:p>
            <w:r>
              <w:rPr>
                <w:rFonts w:hint="eastAsia"/>
              </w:rPr>
              <w:t>2</w:t>
            </w:r>
          </w:p>
        </w:tc>
        <w:tc>
          <w:tcPr>
            <w:tcW w:w="1957" w:type="dxa"/>
            <w:gridSpan w:val="2"/>
            <w:vAlign w:val="center"/>
          </w:tcPr>
          <w:p>
            <w:r>
              <w:rPr>
                <w:rFonts w:hint="eastAsia"/>
              </w:rPr>
              <w:t>0.91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1478" w:firstLineChars="704"/>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水费、电费、差旅费</w:t>
            </w:r>
          </w:p>
        </w:tc>
        <w:tc>
          <w:tcPr>
            <w:tcW w:w="1699" w:type="dxa"/>
            <w:gridSpan w:val="2"/>
            <w:vAlign w:val="center"/>
          </w:tcPr>
          <w:p>
            <w:pPr>
              <w:rPr>
                <w:rFonts w:asciiTheme="minorEastAsia" w:hAnsiTheme="minorEastAsia" w:eastAsiaTheme="minorEastAsia" w:cstheme="minorEastAsia"/>
                <w:szCs w:val="21"/>
              </w:rPr>
            </w:pPr>
            <w:r>
              <w:rPr>
                <w:rFonts w:hint="eastAsia"/>
              </w:rPr>
              <w:t>1.52</w:t>
            </w:r>
          </w:p>
        </w:tc>
        <w:tc>
          <w:tcPr>
            <w:tcW w:w="1972" w:type="dxa"/>
            <w:gridSpan w:val="2"/>
            <w:vAlign w:val="center"/>
          </w:tcPr>
          <w:p>
            <w:pPr>
              <w:rPr>
                <w:rFonts w:asciiTheme="minorEastAsia" w:hAnsiTheme="minorEastAsia" w:eastAsiaTheme="minorEastAsia" w:cstheme="minorEastAsia"/>
                <w:szCs w:val="21"/>
              </w:rPr>
            </w:pPr>
            <w:r>
              <w:rPr>
                <w:rFonts w:hint="eastAsia"/>
              </w:rPr>
              <w:t>1.7</w:t>
            </w:r>
          </w:p>
        </w:tc>
        <w:tc>
          <w:tcPr>
            <w:tcW w:w="1957" w:type="dxa"/>
            <w:gridSpan w:val="2"/>
            <w:vAlign w:val="center"/>
          </w:tcPr>
          <w:p>
            <w:pPr>
              <w:rPr>
                <w:rFonts w:asciiTheme="minorEastAsia" w:hAnsiTheme="minorEastAsia" w:eastAsiaTheme="minorEastAsia" w:cstheme="minorEastAsia"/>
                <w:szCs w:val="21"/>
              </w:rPr>
            </w:pPr>
            <w:r>
              <w:rPr>
                <w:rFonts w:hint="eastAsia"/>
              </w:rPr>
              <w:t>1.52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ind w:firstLine="1478" w:firstLineChars="704"/>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会议费、培训费</w:t>
            </w:r>
          </w:p>
        </w:tc>
        <w:tc>
          <w:tcPr>
            <w:tcW w:w="1699" w:type="dxa"/>
            <w:gridSpan w:val="2"/>
            <w:vAlign w:val="center"/>
          </w:tcPr>
          <w:p>
            <w:pPr>
              <w:rPr>
                <w:rFonts w:asciiTheme="minorEastAsia" w:hAnsiTheme="minorEastAsia" w:eastAsiaTheme="minorEastAsia" w:cstheme="minorEastAsia"/>
                <w:szCs w:val="21"/>
              </w:rPr>
            </w:pPr>
            <w:r>
              <w:rPr>
                <w:rFonts w:hint="eastAsia"/>
              </w:rPr>
              <w:t>0.86</w:t>
            </w:r>
          </w:p>
        </w:tc>
        <w:tc>
          <w:tcPr>
            <w:tcW w:w="1972" w:type="dxa"/>
            <w:gridSpan w:val="2"/>
            <w:vAlign w:val="center"/>
          </w:tcPr>
          <w:p>
            <w:pPr>
              <w:rPr>
                <w:rFonts w:asciiTheme="minorEastAsia" w:hAnsiTheme="minorEastAsia" w:eastAsiaTheme="minorEastAsia" w:cstheme="minorEastAsia"/>
                <w:szCs w:val="21"/>
              </w:rPr>
            </w:pPr>
            <w:r>
              <w:rPr>
                <w:rFonts w:hint="eastAsia"/>
              </w:rPr>
              <w:t>1</w:t>
            </w:r>
          </w:p>
        </w:tc>
        <w:tc>
          <w:tcPr>
            <w:tcW w:w="1957" w:type="dxa"/>
            <w:gridSpan w:val="2"/>
            <w:vAlign w:val="center"/>
          </w:tcPr>
          <w:p>
            <w:pPr>
              <w:rPr>
                <w:rFonts w:asciiTheme="minorEastAsia" w:hAnsiTheme="minorEastAsia" w:eastAsiaTheme="minorEastAsia" w:cstheme="minorEastAsia"/>
                <w:szCs w:val="21"/>
              </w:rPr>
            </w:pPr>
            <w:r>
              <w:rPr>
                <w:rFonts w:hint="eastAsia"/>
              </w:rPr>
              <w:t>0.86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政府采购金额</w:t>
            </w:r>
          </w:p>
        </w:tc>
        <w:tc>
          <w:tcPr>
            <w:tcW w:w="1699" w:type="dxa"/>
            <w:gridSpan w:val="2"/>
            <w:vAlign w:val="center"/>
          </w:tcPr>
          <w:p>
            <w:pPr>
              <w:rPr>
                <w:rFonts w:asciiTheme="minorEastAsia" w:hAnsiTheme="minorEastAsia" w:eastAsiaTheme="minorEastAsia" w:cstheme="minorEastAsia"/>
                <w:szCs w:val="21"/>
              </w:rPr>
            </w:pPr>
            <w:r>
              <w:rPr>
                <w:rFonts w:hint="eastAsia"/>
              </w:rPr>
              <w:t>——</w:t>
            </w:r>
          </w:p>
        </w:tc>
        <w:tc>
          <w:tcPr>
            <w:tcW w:w="1972" w:type="dxa"/>
            <w:gridSpan w:val="2"/>
            <w:vAlign w:val="center"/>
          </w:tcPr>
          <w:p>
            <w:pPr>
              <w:rPr>
                <w:rFonts w:asciiTheme="minorEastAsia" w:hAnsiTheme="minorEastAsia" w:eastAsiaTheme="minorEastAsia" w:cstheme="minorEastAsia"/>
                <w:szCs w:val="21"/>
              </w:rPr>
            </w:pPr>
            <w:r>
              <w:rPr>
                <w:rFonts w:hint="eastAsia"/>
              </w:rPr>
              <w:t>2</w:t>
            </w:r>
          </w:p>
        </w:tc>
        <w:tc>
          <w:tcPr>
            <w:tcW w:w="1957" w:type="dxa"/>
            <w:gridSpan w:val="2"/>
            <w:vAlign w:val="center"/>
          </w:tcPr>
          <w:p>
            <w:pPr>
              <w:rPr>
                <w:rFonts w:asciiTheme="minorEastAsia" w:hAnsiTheme="minorEastAsia" w:eastAsiaTheme="minorEastAsia" w:cstheme="minorEastAsia"/>
                <w:szCs w:val="21"/>
              </w:rPr>
            </w:pPr>
            <w:r>
              <w:rPr>
                <w:rFonts w:hint="eastAsia"/>
              </w:rPr>
              <w:t>151.3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Align w:val="center"/>
          </w:tcPr>
          <w:p>
            <w:pPr>
              <w:spacing w:line="30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部门基本支出预算调整</w:t>
            </w:r>
          </w:p>
        </w:tc>
        <w:tc>
          <w:tcPr>
            <w:tcW w:w="1699" w:type="dxa"/>
            <w:gridSpan w:val="2"/>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w:t>
            </w:r>
          </w:p>
        </w:tc>
        <w:tc>
          <w:tcPr>
            <w:tcW w:w="1972" w:type="dxa"/>
            <w:gridSpan w:val="2"/>
            <w:vAlign w:val="center"/>
          </w:tcPr>
          <w:p>
            <w:pPr>
              <w:spacing w:line="300" w:lineRule="exact"/>
              <w:jc w:val="center"/>
              <w:rPr>
                <w:rFonts w:asciiTheme="minorEastAsia" w:hAnsiTheme="minorEastAsia" w:eastAsiaTheme="minorEastAsia" w:cstheme="minorEastAsia"/>
                <w:szCs w:val="21"/>
              </w:rPr>
            </w:pPr>
          </w:p>
        </w:tc>
        <w:tc>
          <w:tcPr>
            <w:tcW w:w="1957" w:type="dxa"/>
            <w:gridSpan w:val="2"/>
            <w:vAlign w:val="center"/>
          </w:tcPr>
          <w:p>
            <w:pPr>
              <w:spacing w:line="30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649" w:type="dxa"/>
            <w:vMerge w:val="restart"/>
            <w:tcBorders>
              <w:bottom w:val="nil"/>
            </w:tcBorders>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楼堂馆所控制情况</w:t>
            </w:r>
          </w:p>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（2023年完工项目）</w:t>
            </w:r>
          </w:p>
        </w:tc>
        <w:tc>
          <w:tcPr>
            <w:tcW w:w="733"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批复规模</w:t>
            </w:r>
          </w:p>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w:t>
            </w:r>
          </w:p>
        </w:tc>
        <w:tc>
          <w:tcPr>
            <w:tcW w:w="966"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实际规模（㎡）</w:t>
            </w:r>
          </w:p>
        </w:tc>
        <w:tc>
          <w:tcPr>
            <w:tcW w:w="986"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规模</w:t>
            </w:r>
          </w:p>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控制率</w:t>
            </w:r>
          </w:p>
        </w:tc>
        <w:tc>
          <w:tcPr>
            <w:tcW w:w="986"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预算投资</w:t>
            </w:r>
          </w:p>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（万元）</w:t>
            </w:r>
          </w:p>
        </w:tc>
        <w:tc>
          <w:tcPr>
            <w:tcW w:w="978"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实际投资</w:t>
            </w:r>
          </w:p>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（万元）</w:t>
            </w:r>
          </w:p>
        </w:tc>
        <w:tc>
          <w:tcPr>
            <w:tcW w:w="979"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649" w:type="dxa"/>
            <w:vMerge w:val="continue"/>
            <w:tcBorders>
              <w:top w:val="nil"/>
            </w:tcBorders>
            <w:vAlign w:val="center"/>
          </w:tcPr>
          <w:p>
            <w:pPr>
              <w:spacing w:line="300" w:lineRule="exact"/>
              <w:jc w:val="left"/>
              <w:rPr>
                <w:rFonts w:asciiTheme="minorEastAsia" w:hAnsiTheme="minorEastAsia" w:eastAsiaTheme="minorEastAsia" w:cstheme="minorEastAsia"/>
                <w:szCs w:val="21"/>
              </w:rPr>
            </w:pPr>
          </w:p>
        </w:tc>
        <w:tc>
          <w:tcPr>
            <w:tcW w:w="733" w:type="dxa"/>
            <w:vAlign w:val="center"/>
          </w:tcPr>
          <w:p>
            <w:pPr>
              <w:spacing w:line="300" w:lineRule="exact"/>
              <w:jc w:val="center"/>
              <w:rPr>
                <w:rFonts w:asciiTheme="minorEastAsia" w:hAnsiTheme="minorEastAsia" w:eastAsiaTheme="minorEastAsia" w:cstheme="minorEastAsia"/>
                <w:szCs w:val="21"/>
              </w:rPr>
            </w:pPr>
          </w:p>
        </w:tc>
        <w:tc>
          <w:tcPr>
            <w:tcW w:w="966" w:type="dxa"/>
            <w:vAlign w:val="center"/>
          </w:tcPr>
          <w:p>
            <w:pPr>
              <w:spacing w:line="300" w:lineRule="exact"/>
              <w:jc w:val="center"/>
              <w:rPr>
                <w:rFonts w:asciiTheme="minorEastAsia" w:hAnsiTheme="minorEastAsia" w:eastAsiaTheme="minorEastAsia" w:cstheme="minorEastAsia"/>
                <w:szCs w:val="21"/>
              </w:rPr>
            </w:pPr>
          </w:p>
        </w:tc>
        <w:tc>
          <w:tcPr>
            <w:tcW w:w="986" w:type="dxa"/>
            <w:vAlign w:val="center"/>
          </w:tcPr>
          <w:p>
            <w:pPr>
              <w:spacing w:line="300" w:lineRule="exact"/>
              <w:jc w:val="center"/>
              <w:rPr>
                <w:rFonts w:asciiTheme="minorEastAsia" w:hAnsiTheme="minorEastAsia" w:eastAsiaTheme="minorEastAsia" w:cstheme="minorEastAsia"/>
                <w:szCs w:val="21"/>
              </w:rPr>
            </w:pPr>
          </w:p>
        </w:tc>
        <w:tc>
          <w:tcPr>
            <w:tcW w:w="986" w:type="dxa"/>
            <w:vAlign w:val="center"/>
          </w:tcPr>
          <w:p>
            <w:pPr>
              <w:spacing w:line="300" w:lineRule="exact"/>
              <w:jc w:val="center"/>
              <w:rPr>
                <w:rFonts w:asciiTheme="minorEastAsia" w:hAnsiTheme="minorEastAsia" w:eastAsiaTheme="minorEastAsia" w:cstheme="minorEastAsia"/>
                <w:szCs w:val="21"/>
              </w:rPr>
            </w:pPr>
          </w:p>
        </w:tc>
        <w:tc>
          <w:tcPr>
            <w:tcW w:w="978" w:type="dxa"/>
            <w:vAlign w:val="center"/>
          </w:tcPr>
          <w:p>
            <w:pPr>
              <w:spacing w:line="300" w:lineRule="exact"/>
              <w:jc w:val="center"/>
              <w:rPr>
                <w:rFonts w:asciiTheme="minorEastAsia" w:hAnsiTheme="minorEastAsia" w:eastAsiaTheme="minorEastAsia" w:cstheme="minorEastAsia"/>
                <w:szCs w:val="21"/>
              </w:rPr>
            </w:pPr>
          </w:p>
        </w:tc>
        <w:tc>
          <w:tcPr>
            <w:tcW w:w="979" w:type="dxa"/>
            <w:vAlign w:val="center"/>
          </w:tcPr>
          <w:p>
            <w:pPr>
              <w:spacing w:line="30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649" w:type="dxa"/>
            <w:vAlign w:val="center"/>
          </w:tcPr>
          <w:p>
            <w:pPr>
              <w:spacing w:line="30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厉行节约保障措施</w:t>
            </w:r>
          </w:p>
        </w:tc>
        <w:tc>
          <w:tcPr>
            <w:tcW w:w="5628" w:type="dxa"/>
            <w:gridSpan w:val="6"/>
            <w:vAlign w:val="center"/>
          </w:tcPr>
          <w:p>
            <w:pPr>
              <w:spacing w:line="300" w:lineRule="exact"/>
              <w:jc w:val="center"/>
              <w:rPr>
                <w:rFonts w:asciiTheme="minorEastAsia" w:hAnsiTheme="minorEastAsia" w:eastAsiaTheme="minorEastAsia" w:cstheme="minorEastAsia"/>
                <w:szCs w:val="21"/>
              </w:rPr>
            </w:pPr>
          </w:p>
        </w:tc>
      </w:tr>
    </w:tbl>
    <w:p>
      <w:r>
        <w:rPr>
          <w:rFonts w:hint="eastAsia"/>
        </w:rPr>
        <w:t>说明：“项目支出” 需要填报基本支出以外的所有项目支出情况，“公用经费”填报基本支出中的一般商品和服务支出。</w:t>
      </w:r>
    </w:p>
    <w:p>
      <w:pPr>
        <w:pStyle w:val="2"/>
      </w:pPr>
    </w:p>
    <w:p/>
    <w:p>
      <w:r>
        <w:rPr>
          <w:rFonts w:hint="eastAsia"/>
        </w:rPr>
        <w:t>填表人：        填报日期：       联系电话：          单位负责人签字：</w:t>
      </w:r>
    </w:p>
    <w:p>
      <w:pPr>
        <w:rPr>
          <w:spacing w:val="-13"/>
          <w:sz w:val="22"/>
          <w:szCs w:val="22"/>
        </w:rPr>
      </w:pPr>
      <w:r>
        <w:rPr>
          <w:spacing w:val="-13"/>
          <w:sz w:val="22"/>
          <w:szCs w:val="22"/>
        </w:rPr>
        <w:br w:type="page"/>
      </w: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附件3</w:t>
      </w:r>
    </w:p>
    <w:p>
      <w:pPr>
        <w:spacing w:line="251" w:lineRule="auto"/>
        <w:rPr>
          <w:rFonts w:ascii="Arial"/>
        </w:rPr>
      </w:pPr>
    </w:p>
    <w:p>
      <w:pPr>
        <w:spacing w:line="251" w:lineRule="auto"/>
        <w:rPr>
          <w:rFonts w:ascii="Arial"/>
        </w:rPr>
      </w:pPr>
    </w:p>
    <w:p>
      <w:pPr>
        <w:rPr>
          <w:rFonts w:ascii="Arial"/>
        </w:rPr>
      </w:pPr>
    </w:p>
    <w:p>
      <w:pPr>
        <w:pStyle w:val="2"/>
      </w:pPr>
    </w:p>
    <w:p/>
    <w:p>
      <w:pPr>
        <w:spacing w:before="223" w:line="218" w:lineRule="auto"/>
        <w:ind w:left="1384"/>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1"/>
          <w:sz w:val="44"/>
          <w:szCs w:val="44"/>
        </w:rPr>
        <w:t>2023年度</w:t>
      </w:r>
      <w:r>
        <w:rPr>
          <w:rFonts w:hint="eastAsia" w:ascii="方正小标宋简体" w:hAnsi="方正小标宋简体" w:eastAsia="方正小标宋简体" w:cs="方正小标宋简体"/>
          <w:spacing w:val="-1"/>
          <w:sz w:val="44"/>
          <w:szCs w:val="44"/>
          <w:lang w:eastAsia="zh-CN"/>
        </w:rPr>
        <w:t>华容县城乡建设事务中心</w:t>
      </w:r>
      <w:r>
        <w:rPr>
          <w:rFonts w:hint="eastAsia" w:ascii="方正小标宋简体" w:hAnsi="方正小标宋简体" w:eastAsia="方正小标宋简体" w:cs="方正小标宋简体"/>
          <w:spacing w:val="-1"/>
          <w:sz w:val="44"/>
          <w:szCs w:val="44"/>
        </w:rPr>
        <w:t>整体支出</w:t>
      </w:r>
      <w:r>
        <w:rPr>
          <w:rFonts w:hint="eastAsia" w:ascii="方正小标宋简体" w:hAnsi="方正小标宋简体" w:eastAsia="方正小标宋简体" w:cs="方正小标宋简体"/>
          <w:spacing w:val="-3"/>
          <w:sz w:val="44"/>
          <w:szCs w:val="44"/>
        </w:rPr>
        <w:t>绩效自评报告</w:t>
      </w:r>
    </w:p>
    <w:p>
      <w:pPr>
        <w:spacing w:line="243" w:lineRule="auto"/>
        <w:jc w:val="center"/>
        <w:rPr>
          <w:rFonts w:ascii="Arial"/>
        </w:rPr>
      </w:pPr>
    </w:p>
    <w:p>
      <w:pPr>
        <w:spacing w:line="243" w:lineRule="auto"/>
        <w:rPr>
          <w:rFonts w:ascii="Arial"/>
        </w:rPr>
      </w:pPr>
    </w:p>
    <w:p>
      <w:pPr>
        <w:spacing w:line="243" w:lineRule="auto"/>
        <w:rPr>
          <w:rFonts w:ascii="Arial"/>
        </w:rPr>
      </w:pPr>
    </w:p>
    <w:p>
      <w:pPr>
        <w:spacing w:line="243" w:lineRule="auto"/>
        <w:rPr>
          <w:rFonts w:ascii="Arial"/>
        </w:rPr>
      </w:pPr>
    </w:p>
    <w:p>
      <w:pPr>
        <w:spacing w:line="243" w:lineRule="auto"/>
        <w:rPr>
          <w:rFonts w:ascii="Arial"/>
        </w:rPr>
      </w:pPr>
    </w:p>
    <w:p>
      <w:pPr>
        <w:spacing w:line="243" w:lineRule="auto"/>
        <w:rPr>
          <w:rFonts w:ascii="Arial"/>
        </w:rPr>
      </w:pPr>
    </w:p>
    <w:p>
      <w:pPr>
        <w:pStyle w:val="2"/>
      </w:pPr>
    </w:p>
    <w:p>
      <w:pPr>
        <w:spacing w:line="243" w:lineRule="auto"/>
        <w:rPr>
          <w:rFonts w:ascii="Arial"/>
        </w:rPr>
      </w:pPr>
    </w:p>
    <w:p>
      <w:pPr>
        <w:spacing w:line="243" w:lineRule="auto"/>
        <w:rPr>
          <w:rFonts w:ascii="Arial"/>
        </w:rPr>
      </w:pPr>
    </w:p>
    <w:p>
      <w:pPr>
        <w:spacing w:line="243" w:lineRule="auto"/>
        <w:rPr>
          <w:rFonts w:ascii="Arial"/>
        </w:rPr>
      </w:pPr>
    </w:p>
    <w:p>
      <w:pPr>
        <w:spacing w:line="243" w:lineRule="auto"/>
        <w:rPr>
          <w:rFonts w:ascii="Arial"/>
        </w:rPr>
      </w:pPr>
    </w:p>
    <w:p>
      <w:pPr>
        <w:pStyle w:val="4"/>
        <w:spacing w:before="100" w:line="221" w:lineRule="auto"/>
        <w:ind w:firstLine="1500" w:firstLineChars="500"/>
        <w:rPr>
          <w:rFonts w:ascii="仿宋_GB2312" w:hAnsi="仿宋_GB2312" w:eastAsia="仿宋_GB2312" w:cs="仿宋_GB2312"/>
          <w:sz w:val="32"/>
          <w:szCs w:val="32"/>
          <w:lang w:eastAsia="zh-CN"/>
        </w:rPr>
      </w:pPr>
      <w:r>
        <w:rPr>
          <w:rFonts w:hint="eastAsia" w:ascii="仿宋_GB2312" w:hAnsi="仿宋_GB2312" w:eastAsia="仿宋_GB2312" w:cs="仿宋_GB2312"/>
          <w:spacing w:val="-10"/>
          <w:sz w:val="32"/>
          <w:szCs w:val="32"/>
          <w:lang w:eastAsia="zh-CN"/>
        </w:rPr>
        <w:t>部门（单位）名称</w:t>
      </w:r>
      <w:r>
        <w:rPr>
          <w:rFonts w:hint="eastAsia" w:ascii="仿宋_GB2312" w:hAnsi="仿宋_GB2312" w:eastAsia="仿宋_GB2312" w:cs="仿宋_GB2312"/>
          <w:spacing w:val="4"/>
          <w:sz w:val="32"/>
          <w:szCs w:val="32"/>
          <w:lang w:eastAsia="zh-CN"/>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lang w:eastAsia="zh-CN"/>
        </w:rPr>
        <w:t xml:space="preserve"> </w:t>
      </w:r>
      <w:r>
        <w:rPr>
          <w:rFonts w:hint="eastAsia" w:ascii="仿宋_GB2312" w:hAnsi="仿宋_GB2312" w:eastAsia="仿宋_GB2312" w:cs="仿宋_GB2312"/>
          <w:spacing w:val="-75"/>
          <w:sz w:val="32"/>
          <w:szCs w:val="32"/>
          <w:u w:val="single"/>
          <w:lang w:eastAsia="zh-CN"/>
        </w:rPr>
        <w:t xml:space="preserve"> </w:t>
      </w:r>
      <w:r>
        <w:rPr>
          <w:rFonts w:hint="eastAsia" w:ascii="仿宋_GB2312" w:hAnsi="仿宋_GB2312" w:eastAsia="仿宋_GB2312" w:cs="仿宋_GB2312"/>
          <w:spacing w:val="-10"/>
          <w:sz w:val="32"/>
          <w:szCs w:val="32"/>
          <w:u w:val="single"/>
          <w:lang w:eastAsia="zh-CN"/>
        </w:rPr>
        <w:t>盖章）</w:t>
      </w:r>
      <w:r>
        <w:rPr>
          <w:rFonts w:hint="eastAsia" w:ascii="仿宋_GB2312" w:hAnsi="仿宋_GB2312" w:eastAsia="仿宋_GB2312" w:cs="仿宋_GB2312"/>
          <w:sz w:val="32"/>
          <w:szCs w:val="32"/>
          <w:u w:val="single"/>
          <w:lang w:eastAsia="zh-CN"/>
        </w:rPr>
        <w:t xml:space="preserve">              </w:t>
      </w:r>
    </w:p>
    <w:p>
      <w:pPr>
        <w:spacing w:before="228" w:line="222" w:lineRule="auto"/>
        <w:ind w:firstLine="3952" w:firstLineChars="13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8"/>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lang w:val="en-US" w:eastAsia="zh-CN"/>
        </w:rPr>
        <w:t>31</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4"/>
        <w:spacing w:before="102" w:line="224" w:lineRule="auto"/>
        <w:ind w:left="3216"/>
        <w:rPr>
          <w:rFonts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（此页为封面）</w:t>
      </w:r>
    </w:p>
    <w:p>
      <w:pPr>
        <w:sectPr>
          <w:headerReference r:id="rId5" w:type="first"/>
          <w:footerReference r:id="rId8" w:type="first"/>
          <w:headerReference r:id="rId3" w:type="default"/>
          <w:footerReference r:id="rId6" w:type="default"/>
          <w:headerReference r:id="rId4" w:type="even"/>
          <w:footerReference r:id="rId7" w:type="even"/>
          <w:pgSz w:w="11905" w:h="16838"/>
          <w:pgMar w:top="1984" w:right="1701" w:bottom="1984" w:left="1701" w:header="850" w:footer="1587" w:gutter="0"/>
          <w:pgNumType w:fmt="numberInDash" w:start="7"/>
          <w:cols w:space="0" w:num="1"/>
          <w:docGrid w:type="lines" w:linePitch="314" w:charSpace="0"/>
        </w:sectPr>
      </w:pPr>
      <w:r>
        <w:br w:type="page"/>
      </w:r>
    </w:p>
    <w:p>
      <w:pPr>
        <w:spacing w:line="580" w:lineRule="exact"/>
        <w:jc w:val="center"/>
        <w:rPr>
          <w:rFonts w:ascii="方正小标宋简体" w:hAnsi="方正小标宋简体" w:eastAsia="方正小标宋简体" w:cs="方正小标宋简体"/>
          <w:spacing w:val="6"/>
          <w:sz w:val="44"/>
          <w:szCs w:val="44"/>
        </w:rPr>
      </w:pPr>
    </w:p>
    <w:p>
      <w:pPr>
        <w:pStyle w:val="2"/>
      </w:pPr>
    </w:p>
    <w:p>
      <w:pPr>
        <w:spacing w:line="580" w:lineRule="exact"/>
        <w:jc w:val="center"/>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2023年度华容县城乡建设事务中心</w:t>
      </w:r>
    </w:p>
    <w:p>
      <w:pPr>
        <w:spacing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整体支出</w:t>
      </w:r>
      <w:r>
        <w:rPr>
          <w:rFonts w:hint="eastAsia" w:ascii="方正小标宋简体" w:hAnsi="方正小标宋简体" w:eastAsia="方正小标宋简体" w:cs="方正小标宋简体"/>
          <w:spacing w:val="7"/>
          <w:sz w:val="44"/>
          <w:szCs w:val="44"/>
        </w:rPr>
        <w:t>绩效自评报告</w:t>
      </w:r>
    </w:p>
    <w:p>
      <w:pPr>
        <w:spacing w:line="283" w:lineRule="auto"/>
        <w:rPr>
          <w:rFonts w:ascii="Arial"/>
        </w:rPr>
      </w:pPr>
    </w:p>
    <w:p>
      <w:pPr>
        <w:spacing w:line="284" w:lineRule="auto"/>
        <w:rPr>
          <w:rFonts w:ascii="Arial"/>
        </w:rPr>
      </w:pPr>
    </w:p>
    <w:p>
      <w:pPr>
        <w:pStyle w:val="2"/>
      </w:pPr>
    </w:p>
    <w:p>
      <w:p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一、部门基本情况</w:t>
      </w:r>
    </w:p>
    <w:p>
      <w:pPr>
        <w:spacing w:before="104" w:line="222" w:lineRule="auto"/>
        <w:outlineLvl w:val="1"/>
        <w:rPr>
          <w:rFonts w:ascii="仿宋" w:hAnsi="仿宋" w:eastAsia="仿宋" w:cs="仿宋"/>
          <w:spacing w:val="22"/>
          <w:sz w:val="32"/>
          <w:szCs w:val="32"/>
        </w:rPr>
      </w:pPr>
      <w:r>
        <w:rPr>
          <w:rFonts w:hint="eastAsia" w:ascii="黑体" w:hAnsi="黑体" w:eastAsia="黑体" w:cs="黑体"/>
          <w:b/>
          <w:bCs/>
          <w:spacing w:val="22"/>
          <w:sz w:val="32"/>
          <w:szCs w:val="32"/>
        </w:rPr>
        <w:t xml:space="preserve">  </w:t>
      </w:r>
      <w:r>
        <w:rPr>
          <w:rFonts w:hint="eastAsia" w:ascii="仿宋" w:hAnsi="仿宋" w:eastAsia="仿宋" w:cs="仿宋"/>
          <w:spacing w:val="22"/>
          <w:sz w:val="32"/>
          <w:szCs w:val="32"/>
        </w:rPr>
        <w:t xml:space="preserve"> 1、人员编制情况：华容县城乡建设事务中心2023年编制人数15人，实有人数18人，内设综合室、工程项目室、工程建设室、村镇建设室6个股室。</w:t>
      </w:r>
    </w:p>
    <w:p>
      <w:pPr>
        <w:spacing w:before="104" w:line="222" w:lineRule="auto"/>
        <w:outlineLvl w:val="1"/>
        <w:rPr>
          <w:rFonts w:ascii="仿宋" w:hAnsi="仿宋" w:eastAsia="仿宋" w:cs="仿宋"/>
          <w:sz w:val="32"/>
          <w:szCs w:val="32"/>
        </w:rPr>
      </w:pPr>
      <w:r>
        <w:rPr>
          <w:rFonts w:hint="eastAsia" w:ascii="仿宋" w:hAnsi="仿宋" w:eastAsia="仿宋" w:cs="仿宋"/>
          <w:spacing w:val="22"/>
          <w:sz w:val="32"/>
          <w:szCs w:val="32"/>
        </w:rPr>
        <w:t xml:space="preserve">     2、职能职责概述：</w:t>
      </w:r>
      <w:r>
        <w:rPr>
          <w:rFonts w:hint="eastAsia" w:ascii="仿宋" w:hAnsi="仿宋" w:eastAsia="仿宋" w:cs="仿宋"/>
          <w:sz w:val="32"/>
          <w:szCs w:val="32"/>
        </w:rPr>
        <w:t>（一）宣传和贯彻执行国家、省、市、县有关市政公用设施建设的法律法规规章和政策文件；参与本县市政公用设施建设规范性文件的起草。</w:t>
      </w:r>
    </w:p>
    <w:p>
      <w:pPr>
        <w:spacing w:before="104" w:line="222" w:lineRule="auto"/>
        <w:outlineLvl w:val="1"/>
        <w:rPr>
          <w:rFonts w:ascii="仿宋" w:hAnsi="仿宋" w:eastAsia="仿宋" w:cs="仿宋"/>
          <w:sz w:val="32"/>
          <w:szCs w:val="32"/>
        </w:rPr>
      </w:pPr>
      <w:r>
        <w:rPr>
          <w:rFonts w:hint="eastAsia" w:ascii="仿宋" w:hAnsi="仿宋" w:eastAsia="仿宋" w:cs="仿宋"/>
          <w:sz w:val="32"/>
          <w:szCs w:val="32"/>
        </w:rPr>
        <w:t>（二）组织实施县城区城市道路和桥涵设施、城市排水设施和城市地下管网（含城市地下综合管廊）等市政公用设施建设。</w:t>
      </w:r>
    </w:p>
    <w:p>
      <w:pPr>
        <w:spacing w:before="104" w:line="222" w:lineRule="auto"/>
        <w:outlineLvl w:val="1"/>
        <w:rPr>
          <w:rFonts w:ascii="仿宋" w:hAnsi="仿宋" w:eastAsia="仿宋" w:cs="仿宋"/>
          <w:sz w:val="32"/>
          <w:szCs w:val="32"/>
        </w:rPr>
      </w:pPr>
      <w:r>
        <w:rPr>
          <w:rFonts w:hint="eastAsia" w:ascii="仿宋" w:hAnsi="仿宋" w:eastAsia="仿宋" w:cs="仿宋"/>
          <w:sz w:val="32"/>
          <w:szCs w:val="32"/>
        </w:rPr>
        <w:t>（三）受县住房和城乡建设局委托，审查并建立县城区市政公用设施建设项目库，初审市政公用设施建设项目，编制市政公用设施（含小街小巷）建设项目的详细工作方案，包括规划方案、组织实施方案等；承担县城区地下管线综合管理和协调工作。</w:t>
      </w:r>
    </w:p>
    <w:p>
      <w:pPr>
        <w:spacing w:before="104" w:line="222" w:lineRule="auto"/>
        <w:outlineLvl w:val="1"/>
        <w:rPr>
          <w:rFonts w:ascii="仿宋" w:hAnsi="仿宋" w:eastAsia="仿宋" w:cs="仿宋"/>
          <w:sz w:val="32"/>
          <w:szCs w:val="32"/>
        </w:rPr>
      </w:pPr>
      <w:r>
        <w:rPr>
          <w:rFonts w:hint="eastAsia" w:ascii="仿宋" w:hAnsi="仿宋" w:eastAsia="仿宋" w:cs="仿宋"/>
          <w:sz w:val="32"/>
          <w:szCs w:val="32"/>
        </w:rPr>
        <w:t>（四）参与县城市政公用设施（含小街小巷）建设计划及资金计划的编制；参与城市黄线的划定；组织实施县城市政公用设施（含小街小巷）的改建、扩建及配套建设。</w:t>
      </w:r>
    </w:p>
    <w:p>
      <w:pPr>
        <w:spacing w:before="104" w:line="222" w:lineRule="auto"/>
        <w:outlineLvl w:val="1"/>
        <w:rPr>
          <w:rFonts w:ascii="仿宋" w:hAnsi="仿宋" w:eastAsia="仿宋" w:cs="仿宋"/>
          <w:sz w:val="32"/>
          <w:szCs w:val="32"/>
        </w:rPr>
      </w:pPr>
      <w:r>
        <w:rPr>
          <w:rFonts w:hint="eastAsia" w:ascii="仿宋" w:hAnsi="仿宋" w:eastAsia="仿宋" w:cs="仿宋"/>
          <w:sz w:val="32"/>
          <w:szCs w:val="32"/>
        </w:rPr>
        <w:t>（五）受县住房和城乡建设局委托，参与市政公用设施（含小街小巷）建设的施工管理、竣工验收和移交工作。</w:t>
      </w:r>
    </w:p>
    <w:p>
      <w:pPr>
        <w:spacing w:before="104" w:line="222" w:lineRule="auto"/>
        <w:outlineLvl w:val="1"/>
        <w:rPr>
          <w:rFonts w:ascii="仿宋" w:hAnsi="仿宋" w:eastAsia="仿宋" w:cs="仿宋"/>
          <w:sz w:val="32"/>
          <w:szCs w:val="32"/>
        </w:rPr>
      </w:pPr>
      <w:r>
        <w:rPr>
          <w:rFonts w:hint="eastAsia" w:ascii="仿宋" w:hAnsi="仿宋" w:eastAsia="仿宋" w:cs="仿宋"/>
          <w:sz w:val="32"/>
          <w:szCs w:val="32"/>
        </w:rPr>
        <w:t>（六）负责指导监督村镇建设。负责统筹推进新型城镇化工作；指导农村住房设计、建设和危房改造工作；负责对历史文化名镇（村）近代建筑的保护管理；负责监督指导村镇污水处理设施建设和运行管理。</w:t>
      </w:r>
    </w:p>
    <w:p>
      <w:pPr>
        <w:pStyle w:val="2"/>
      </w:pPr>
      <w:r>
        <w:rPr>
          <w:rFonts w:hint="eastAsia"/>
        </w:rPr>
        <w:t>（七）完成县住房和城乡建设局交办的其他任务。</w:t>
      </w:r>
    </w:p>
    <w:p>
      <w:pPr>
        <w:spacing w:before="216" w:line="226" w:lineRule="auto"/>
        <w:ind w:left="648"/>
        <w:rPr>
          <w:rFonts w:ascii="黑体" w:hAnsi="黑体" w:eastAsia="黑体" w:cs="黑体"/>
          <w:sz w:val="32"/>
          <w:szCs w:val="32"/>
        </w:rPr>
      </w:pPr>
      <w:r>
        <w:rPr>
          <w:rFonts w:hint="eastAsia" w:ascii="黑体" w:hAnsi="黑体" w:eastAsia="黑体" w:cs="黑体"/>
          <w:spacing w:val="-2"/>
          <w:sz w:val="32"/>
          <w:szCs w:val="32"/>
        </w:rPr>
        <w:t>二、一般公共预算支出情况</w:t>
      </w:r>
    </w:p>
    <w:p>
      <w:pPr>
        <w:ind w:firstLine="643" w:firstLineChars="200"/>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pStyle w:val="2"/>
        <w:rPr>
          <w:rFonts w:hint="eastAsia"/>
        </w:rPr>
      </w:pPr>
      <w:r>
        <w:rPr>
          <w:rFonts w:hint="eastAsia"/>
        </w:rPr>
        <w:t>基本支出系单位机构正常运转、完成日常工作任务而发生的各项支出，包括用于在职人员基本工资、津贴补贴等人员经费以及办公费、印刷费、水电费、办公设备购置等日常公用经费。</w:t>
      </w:r>
    </w:p>
    <w:p>
      <w:pPr>
        <w:pStyle w:val="2"/>
      </w:pPr>
      <w:r>
        <w:rPr>
          <w:rFonts w:hint="eastAsia"/>
        </w:rPr>
        <w:t>2023年度单位基本支出228.38万元，工资福利支出199.18万元，商品和服务支出25.1万元，对个人和家庭的补助4.1万元</w:t>
      </w:r>
    </w:p>
    <w:p>
      <w:pPr>
        <w:ind w:firstLine="643" w:firstLineChars="200"/>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（二）项目支出情况</w:t>
      </w:r>
    </w:p>
    <w:p>
      <w:pPr>
        <w:pStyle w:val="2"/>
      </w:pPr>
      <w:r>
        <w:rPr>
          <w:rFonts w:hint="eastAsia"/>
        </w:rPr>
        <w:t>2023年度单位全年项目总支出13</w:t>
      </w:r>
      <w:r>
        <w:rPr>
          <w:rFonts w:hint="eastAsia"/>
          <w:lang w:val="en-US" w:eastAsia="zh-CN"/>
        </w:rPr>
        <w:t>0</w:t>
      </w:r>
      <w:r>
        <w:rPr>
          <w:rFonts w:hint="eastAsia"/>
        </w:rPr>
        <w:t>万元，其中县城区排水管网及其附属设施日常维护13</w:t>
      </w:r>
      <w:r>
        <w:rPr>
          <w:rFonts w:hint="eastAsia"/>
          <w:lang w:val="en-US" w:eastAsia="zh-CN"/>
        </w:rPr>
        <w:t>0</w:t>
      </w:r>
      <w:r>
        <w:rPr>
          <w:rFonts w:hint="eastAsia"/>
        </w:rPr>
        <w:t>万元。</w:t>
      </w:r>
    </w:p>
    <w:p>
      <w:pPr>
        <w:pStyle w:val="2"/>
        <w:rPr>
          <w:rFonts w:hint="eastAsia"/>
        </w:rPr>
      </w:pPr>
    </w:p>
    <w:p>
      <w:pPr>
        <w:spacing w:before="224" w:line="227" w:lineRule="auto"/>
        <w:ind w:left="649"/>
        <w:rPr>
          <w:rFonts w:hint="eastAsia" w:ascii="黑体" w:hAnsi="黑体" w:eastAsia="黑体" w:cs="黑体"/>
          <w:spacing w:val="8"/>
          <w:sz w:val="32"/>
          <w:szCs w:val="32"/>
        </w:rPr>
      </w:pPr>
      <w:r>
        <w:rPr>
          <w:rFonts w:hint="eastAsia" w:ascii="黑体" w:hAnsi="黑体" w:eastAsia="黑体" w:cs="黑体"/>
          <w:spacing w:val="8"/>
          <w:sz w:val="32"/>
          <w:szCs w:val="32"/>
        </w:rPr>
        <w:t>三、政府性基金预算支出情况</w:t>
      </w:r>
    </w:p>
    <w:p>
      <w:pPr>
        <w:pStyle w:val="2"/>
      </w:pPr>
      <w:r>
        <w:rPr>
          <w:rFonts w:hint="eastAsia"/>
        </w:rPr>
        <w:t>2023年度政府性基金预算财政拨款全年总支出90万元，</w:t>
      </w:r>
      <w:r>
        <w:rPr>
          <w:rFonts w:hint="eastAsia"/>
          <w:lang w:eastAsia="zh-CN"/>
        </w:rPr>
        <w:t>用于</w:t>
      </w:r>
      <w:r>
        <w:rPr>
          <w:rFonts w:hint="eastAsia"/>
        </w:rPr>
        <w:t>县城区排水管网及其附属设施日常维护支出90万元</w:t>
      </w:r>
    </w:p>
    <w:p>
      <w:pPr>
        <w:pStyle w:val="2"/>
      </w:pPr>
    </w:p>
    <w:p>
      <w:pPr>
        <w:spacing w:before="219" w:line="600" w:lineRule="exact"/>
        <w:ind w:left="662"/>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rPr>
        <w:t>四、国有资本经营预算支出情况</w:t>
      </w:r>
    </w:p>
    <w:p>
      <w:pPr>
        <w:pStyle w:val="2"/>
      </w:pPr>
      <w:r>
        <w:rPr>
          <w:rFonts w:hint="eastAsia"/>
        </w:rPr>
        <w:t>本单位2023年度无国有资本经营预算支出</w:t>
      </w:r>
    </w:p>
    <w:p>
      <w:pPr>
        <w:spacing w:line="227" w:lineRule="auto"/>
        <w:ind w:left="651"/>
        <w:rPr>
          <w:rFonts w:hint="eastAsia" w:ascii="黑体" w:hAnsi="黑体" w:eastAsia="黑体" w:cs="黑体"/>
          <w:spacing w:val="8"/>
          <w:sz w:val="32"/>
          <w:szCs w:val="32"/>
        </w:rPr>
      </w:pPr>
      <w:r>
        <w:rPr>
          <w:rFonts w:hint="eastAsia" w:ascii="黑体" w:hAnsi="黑体" w:eastAsia="黑体" w:cs="黑体"/>
          <w:spacing w:val="8"/>
          <w:sz w:val="32"/>
          <w:szCs w:val="32"/>
        </w:rPr>
        <w:t>五、社会保险基金预算支出情况</w:t>
      </w:r>
    </w:p>
    <w:p>
      <w:pPr>
        <w:pStyle w:val="2"/>
      </w:pPr>
      <w:r>
        <w:rPr>
          <w:rFonts w:hint="eastAsia"/>
        </w:rPr>
        <w:t xml:space="preserve">     2023年本单位社会无保险基金预算支出</w:t>
      </w:r>
    </w:p>
    <w:p>
      <w:pPr>
        <w:spacing w:before="219" w:line="226" w:lineRule="auto"/>
        <w:ind w:left="653"/>
        <w:rPr>
          <w:rFonts w:hint="eastAsia" w:ascii="黑体" w:hAnsi="黑体" w:eastAsia="黑体" w:cs="黑体"/>
          <w:spacing w:val="8"/>
          <w:sz w:val="32"/>
          <w:szCs w:val="32"/>
        </w:rPr>
      </w:pPr>
      <w:r>
        <w:rPr>
          <w:rFonts w:hint="eastAsia" w:ascii="黑体" w:hAnsi="黑体" w:eastAsia="黑体" w:cs="黑体"/>
          <w:spacing w:val="8"/>
          <w:sz w:val="32"/>
          <w:szCs w:val="32"/>
        </w:rPr>
        <w:t>六、部门整体支出绩效情况</w:t>
      </w:r>
    </w:p>
    <w:p>
      <w:pPr>
        <w:pStyle w:val="2"/>
        <w:rPr>
          <w:rFonts w:hint="eastAsia"/>
        </w:rPr>
      </w:pPr>
      <w:r>
        <w:rPr>
          <w:rFonts w:hint="eastAsia"/>
        </w:rPr>
        <w:t>2023年单位整体支出较好地完成了绩效目标，基本实现了预算绩效管理，强化了财政资金的有效使用。</w:t>
      </w:r>
    </w:p>
    <w:p>
      <w:pPr>
        <w:spacing w:line="560" w:lineRule="exact"/>
        <w:ind w:firstLine="640" w:firstLineChars="200"/>
        <w:rPr>
          <w:rFonts w:ascii="仿宋" w:hAnsi="仿宋" w:eastAsia="仿宋" w:cs="仿宋"/>
          <w:sz w:val="32"/>
          <w:szCs w:val="32"/>
        </w:rPr>
      </w:pPr>
      <w:r>
        <w:rPr>
          <w:rFonts w:hint="eastAsia" w:ascii="仿宋" w:hAnsi="仿宋" w:eastAsia="仿宋" w:cs="仿宋"/>
          <w:bCs/>
          <w:sz w:val="32"/>
          <w:szCs w:val="32"/>
        </w:rPr>
        <w:t>1、本单位建立健全《财务管理制度》，以保证日常工作的正常开展，确保责任制各项规定落到实处，在“三重一大”等工作上做到及时报告，及时请示，自觉接受监督和指导，严格按相关财务制度执行。2、预算资金的管理。认真做好年度财政资金的预算编制工作，按照政府采购目录及采购限额标准编制政府采购预算，做到应编尽编。严格控制预算资金的管理和使用，做到专款专用，将财政资金效用发挥至最大。3、资产管理情况。严格按照本单位制定的固定资产管理办法，做好固定资产的购置、验收、领用、变更、处置等工作，建立资产管理卡片，及时更新资产管理信息系统数据，做到账实相符、账卡相符。维护了国有资产的安全和完整，提高国有资产的使用效益，资产利用率达到100%。4、加强绩效管理，精心组织预决算编报、审核等工作。</w:t>
      </w:r>
      <w:r>
        <w:rPr>
          <w:rFonts w:hint="eastAsia" w:ascii="仿宋" w:hAnsi="仿宋" w:eastAsia="仿宋" w:cs="仿宋"/>
          <w:bCs/>
          <w:sz w:val="32"/>
          <w:szCs w:val="32"/>
          <w:lang w:eastAsia="zh-CN"/>
        </w:rPr>
        <w:t>城建</w:t>
      </w:r>
      <w:r>
        <w:rPr>
          <w:rFonts w:hint="eastAsia" w:ascii="仿宋" w:hAnsi="仿宋" w:eastAsia="仿宋" w:cs="仿宋"/>
          <w:bCs/>
          <w:sz w:val="32"/>
          <w:szCs w:val="32"/>
        </w:rPr>
        <w:t>中心全体干部职工在县委县政府的正确领导下，聚焦“六稳”“六保”，在文明创建和</w:t>
      </w:r>
      <w:r>
        <w:rPr>
          <w:rFonts w:hint="eastAsia" w:ascii="仿宋" w:hAnsi="仿宋" w:eastAsia="仿宋" w:cs="仿宋"/>
          <w:bCs/>
          <w:sz w:val="32"/>
          <w:szCs w:val="32"/>
          <w:lang w:eastAsia="zh-CN"/>
        </w:rPr>
        <w:t>城市建设</w:t>
      </w:r>
      <w:r>
        <w:rPr>
          <w:rFonts w:hint="eastAsia" w:ascii="仿宋" w:hAnsi="仿宋" w:eastAsia="仿宋" w:cs="仿宋"/>
          <w:bCs/>
          <w:sz w:val="32"/>
          <w:szCs w:val="32"/>
        </w:rPr>
        <w:t>工作</w:t>
      </w:r>
      <w:r>
        <w:rPr>
          <w:rFonts w:hint="eastAsia" w:ascii="仿宋" w:hAnsi="仿宋" w:eastAsia="仿宋" w:cs="仿宋"/>
          <w:bCs/>
          <w:sz w:val="32"/>
          <w:szCs w:val="32"/>
          <w:lang w:eastAsia="zh-CN"/>
        </w:rPr>
        <w:t>双</w:t>
      </w:r>
      <w:r>
        <w:rPr>
          <w:rFonts w:hint="eastAsia" w:ascii="仿宋" w:hAnsi="仿宋" w:eastAsia="仿宋" w:cs="仿宋"/>
          <w:bCs/>
          <w:sz w:val="32"/>
          <w:szCs w:val="32"/>
        </w:rPr>
        <w:t>管齐下作战的情况下，团洁一心，敢打敢拼，在逆境中艰难前行，破解了一系列难题，较好地完成了市政设施维护各项工作和县委县政府及住建局交办的各项中心工作任务。</w:t>
      </w:r>
    </w:p>
    <w:p>
      <w:pPr>
        <w:pStyle w:val="2"/>
      </w:pPr>
    </w:p>
    <w:p>
      <w:pPr>
        <w:spacing w:before="220" w:line="600" w:lineRule="exact"/>
        <w:ind w:left="641"/>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七、存在的问题及原因分析</w:t>
      </w:r>
    </w:p>
    <w:p>
      <w:pPr>
        <w:ind w:firstLine="320" w:firstLineChars="100"/>
        <w:rPr>
          <w:rFonts w:eastAsia="仿宋_GB2312"/>
          <w:sz w:val="32"/>
          <w:szCs w:val="32"/>
        </w:rPr>
      </w:pPr>
      <w:r>
        <w:rPr>
          <w:rFonts w:hint="eastAsia" w:ascii="仿宋" w:hAnsi="仿宋" w:eastAsia="仿宋" w:cs="仿宋"/>
          <w:bCs/>
          <w:sz w:val="32"/>
          <w:szCs w:val="32"/>
        </w:rPr>
        <w:t>存在的问题：资金不能及时到位，日常维护不能及时到位，工作难度大，</w:t>
      </w:r>
      <w:r>
        <w:rPr>
          <w:rFonts w:hint="eastAsia" w:ascii="仿宋" w:hAnsi="仿宋" w:eastAsia="仿宋" w:cs="宋体"/>
          <w:sz w:val="32"/>
          <w:szCs w:val="32"/>
        </w:rPr>
        <w:t>由</w:t>
      </w:r>
      <w:r>
        <w:rPr>
          <w:rFonts w:hint="eastAsia" w:ascii="仿宋" w:hAnsi="仿宋" w:eastAsia="仿宋" w:cs="___WRD_EMBED_SUB_39"/>
          <w:sz w:val="32"/>
          <w:szCs w:val="32"/>
        </w:rPr>
        <w:t>于</w:t>
      </w:r>
      <w:r>
        <w:rPr>
          <w:rFonts w:hint="eastAsia" w:ascii="仿宋" w:hAnsi="仿宋" w:eastAsia="仿宋" w:cs="宋体"/>
          <w:sz w:val="32"/>
          <w:szCs w:val="32"/>
        </w:rPr>
        <w:t>本</w:t>
      </w:r>
      <w:r>
        <w:rPr>
          <w:rFonts w:hint="eastAsia" w:ascii="仿宋" w:hAnsi="仿宋" w:eastAsia="仿宋" w:cs="___WRD_EMBED_SUB_39"/>
          <w:sz w:val="32"/>
          <w:szCs w:val="32"/>
        </w:rPr>
        <w:t>单位工作</w:t>
      </w:r>
      <w:r>
        <w:rPr>
          <w:rFonts w:hint="eastAsia" w:ascii="仿宋" w:hAnsi="仿宋" w:eastAsia="仿宋" w:cs="宋体"/>
          <w:sz w:val="32"/>
          <w:szCs w:val="32"/>
        </w:rPr>
        <w:t>属</w:t>
      </w:r>
      <w:r>
        <w:rPr>
          <w:rFonts w:hint="eastAsia" w:ascii="仿宋" w:hAnsi="仿宋" w:eastAsia="仿宋" w:cs="___WRD_EMBED_SUB_39"/>
          <w:sz w:val="32"/>
          <w:szCs w:val="32"/>
        </w:rPr>
        <w:t>于日</w:t>
      </w:r>
      <w:r>
        <w:rPr>
          <w:rFonts w:hint="eastAsia" w:ascii="仿宋" w:hAnsi="仿宋" w:eastAsia="仿宋" w:cs="宋体"/>
          <w:sz w:val="32"/>
          <w:szCs w:val="32"/>
        </w:rPr>
        <w:t>常化动态管理</w:t>
      </w:r>
      <w:r>
        <w:rPr>
          <w:rFonts w:hint="eastAsia" w:ascii="仿宋" w:hAnsi="仿宋" w:eastAsia="仿宋" w:cs="___WRD_EMBED_SUB_39"/>
          <w:sz w:val="32"/>
          <w:szCs w:val="32"/>
        </w:rPr>
        <w:t>，</w:t>
      </w:r>
      <w:r>
        <w:rPr>
          <w:rFonts w:hint="eastAsia" w:ascii="仿宋" w:hAnsi="仿宋" w:eastAsia="仿宋" w:cs="宋体"/>
          <w:sz w:val="32"/>
          <w:szCs w:val="32"/>
        </w:rPr>
        <w:t>致</w:t>
      </w:r>
      <w:r>
        <w:rPr>
          <w:rFonts w:hint="eastAsia" w:ascii="仿宋" w:hAnsi="仿宋" w:eastAsia="仿宋" w:cs="___WRD_EMBED_SUB_39"/>
          <w:sz w:val="32"/>
          <w:szCs w:val="32"/>
        </w:rPr>
        <w:t>使无法</w:t>
      </w:r>
      <w:r>
        <w:rPr>
          <w:rFonts w:hint="eastAsia" w:ascii="仿宋" w:hAnsi="仿宋" w:eastAsia="仿宋" w:cs="宋体"/>
          <w:sz w:val="32"/>
          <w:szCs w:val="32"/>
        </w:rPr>
        <w:t>编制设</w:t>
      </w:r>
      <w:r>
        <w:rPr>
          <w:rFonts w:hint="eastAsia" w:ascii="仿宋" w:hAnsi="仿宋" w:eastAsia="仿宋"/>
          <w:sz w:val="32"/>
          <w:szCs w:val="32"/>
        </w:rPr>
        <w:t>施</w:t>
      </w:r>
      <w:r>
        <w:rPr>
          <w:rFonts w:hint="eastAsia" w:ascii="仿宋" w:hAnsi="仿宋" w:eastAsia="仿宋" w:cs="宋体"/>
          <w:sz w:val="32"/>
          <w:szCs w:val="32"/>
        </w:rPr>
        <w:t>计划</w:t>
      </w:r>
      <w:r>
        <w:rPr>
          <w:rFonts w:hint="eastAsia" w:ascii="仿宋" w:hAnsi="仿宋" w:eastAsia="仿宋"/>
          <w:sz w:val="32"/>
          <w:szCs w:val="32"/>
        </w:rPr>
        <w:t>。</w:t>
      </w:r>
    </w:p>
    <w:p>
      <w:pPr>
        <w:spacing w:line="227" w:lineRule="auto"/>
        <w:ind w:left="643"/>
        <w:rPr>
          <w:rFonts w:hint="eastAsia" w:ascii="黑体" w:hAnsi="黑体" w:eastAsia="黑体" w:cs="黑体"/>
          <w:spacing w:val="8"/>
          <w:sz w:val="32"/>
          <w:szCs w:val="32"/>
        </w:rPr>
      </w:pPr>
      <w:r>
        <w:rPr>
          <w:rFonts w:hint="eastAsia" w:ascii="黑体" w:hAnsi="黑体" w:eastAsia="黑体" w:cs="黑体"/>
          <w:spacing w:val="8"/>
          <w:sz w:val="32"/>
          <w:szCs w:val="32"/>
        </w:rPr>
        <w:t>八、下一步改进措施</w:t>
      </w:r>
    </w:p>
    <w:p>
      <w:pPr>
        <w:pStyle w:val="2"/>
      </w:pPr>
      <w:r>
        <w:rPr>
          <w:rFonts w:hint="eastAsia"/>
        </w:rPr>
        <w:t>改进措施和建议：加大财政投入，同时进一步同章华镇和各社区沟通协调，尽可能编制与实际工作相符的实施计划。</w:t>
      </w:r>
    </w:p>
    <w:p>
      <w:pPr>
        <w:spacing w:before="219" w:line="600" w:lineRule="exact"/>
        <w:ind w:left="65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pStyle w:val="2"/>
        <w:ind w:firstLine="480" w:firstLineChars="150"/>
      </w:pPr>
      <w:r>
        <w:rPr>
          <w:rFonts w:hint="eastAsia"/>
        </w:rPr>
        <w:t>本单位2023年度部门整体支出绩效自评报告将严格按照文件要求，交由我单位主管部门在门户网站进行统一公开。</w:t>
      </w:r>
    </w:p>
    <w:p>
      <w:pPr>
        <w:spacing w:line="226" w:lineRule="auto"/>
        <w:ind w:left="647"/>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pStyle w:val="2"/>
      </w:pPr>
      <w:r>
        <w:rPr>
          <w:rFonts w:hint="eastAsia"/>
        </w:rPr>
        <w:t>无</w:t>
      </w:r>
    </w:p>
    <w:p>
      <w:pPr>
        <w:rPr>
          <w:rFonts w:ascii="黑体" w:hAnsi="黑体" w:eastAsia="黑体" w:cs="黑体"/>
          <w:spacing w:val="-3"/>
          <w:sz w:val="31"/>
          <w:szCs w:val="31"/>
        </w:rPr>
      </w:pPr>
      <w:r>
        <w:rPr>
          <w:rFonts w:ascii="黑体" w:hAnsi="黑体" w:eastAsia="黑体" w:cs="黑体"/>
          <w:spacing w:val="-3"/>
          <w:sz w:val="31"/>
          <w:szCs w:val="31"/>
        </w:rPr>
        <w:br w:type="page"/>
      </w:r>
    </w:p>
    <w:p>
      <w:pPr>
        <w:rPr>
          <w:rFonts w:eastAsia="方正小标宋_GBK"/>
          <w:sz w:val="52"/>
          <w:szCs w:val="52"/>
        </w:rPr>
        <w:sectPr>
          <w:footerReference r:id="rId9" w:type="default"/>
          <w:pgSz w:w="11905" w:h="16838"/>
          <w:pgMar w:top="1984" w:right="1701" w:bottom="1984" w:left="1701" w:header="850" w:footer="992" w:gutter="0"/>
          <w:pgNumType w:fmt="numberInDash"/>
          <w:cols w:space="0" w:num="1"/>
          <w:docGrid w:type="lines" w:linePitch="314" w:charSpace="0"/>
        </w:sectPr>
      </w:pP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附件4</w:t>
      </w:r>
    </w:p>
    <w:p>
      <w:pPr>
        <w:pStyle w:val="2"/>
      </w:pPr>
    </w:p>
    <w:p>
      <w:pPr>
        <w:spacing w:line="580" w:lineRule="exact"/>
        <w:jc w:val="center"/>
        <w:rPr>
          <w:rFonts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7"/>
        <w:tblW w:w="8548"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30"/>
        <w:gridCol w:w="993"/>
        <w:gridCol w:w="944"/>
        <w:gridCol w:w="51"/>
        <w:gridCol w:w="973"/>
        <w:gridCol w:w="22"/>
        <w:gridCol w:w="1021"/>
        <w:gridCol w:w="969"/>
        <w:gridCol w:w="699"/>
        <w:gridCol w:w="723"/>
        <w:gridCol w:w="13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01" w:hRule="atLeast"/>
          <w:jc w:val="center"/>
        </w:trPr>
        <w:tc>
          <w:tcPr>
            <w:tcW w:w="2767" w:type="dxa"/>
            <w:gridSpan w:val="3"/>
            <w:vAlign w:val="center"/>
          </w:tcPr>
          <w:p>
            <w:pPr>
              <w:spacing w:line="260" w:lineRule="exact"/>
              <w:jc w:val="center"/>
              <w:rPr>
                <w:rFonts w:asciiTheme="minorEastAsia" w:hAnsiTheme="minorEastAsia" w:eastAsiaTheme="minorEastAsia" w:cstheme="minorEastAsia"/>
                <w:szCs w:val="21"/>
              </w:rPr>
            </w:pPr>
            <w:r>
              <w:rPr>
                <w:rFonts w:hint="eastAsia" w:ascii="黑体" w:hAnsi="黑体" w:eastAsia="黑体" w:cs="黑体"/>
                <w:szCs w:val="21"/>
              </w:rPr>
              <w:t>省级预算部门、单位名称</w:t>
            </w:r>
          </w:p>
        </w:tc>
        <w:tc>
          <w:tcPr>
            <w:tcW w:w="5781" w:type="dxa"/>
            <w:gridSpan w:val="8"/>
            <w:vAlign w:val="center"/>
          </w:tcPr>
          <w:p>
            <w:pPr>
              <w:spacing w:line="260" w:lineRule="exact"/>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华容县城乡建设事务中心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0" w:hRule="atLeast"/>
          <w:jc w:val="center"/>
        </w:trPr>
        <w:tc>
          <w:tcPr>
            <w:tcW w:w="830" w:type="dxa"/>
            <w:vMerge w:val="restart"/>
            <w:tcBorders>
              <w:bottom w:val="nil"/>
            </w:tcBorders>
            <w:vAlign w:val="center"/>
          </w:tcPr>
          <w:p>
            <w:pPr>
              <w:spacing w:line="260" w:lineRule="exact"/>
              <w:jc w:val="center"/>
              <w:rPr>
                <w:rFonts w:ascii="黑体" w:hAnsi="黑体" w:eastAsia="黑体" w:cs="黑体"/>
                <w:szCs w:val="21"/>
              </w:rPr>
            </w:pPr>
            <w:r>
              <w:rPr>
                <w:rFonts w:hint="eastAsia" w:ascii="黑体" w:hAnsi="黑体" w:eastAsia="黑体" w:cs="黑体"/>
                <w:szCs w:val="21"/>
              </w:rPr>
              <w:t>年度预算申请（万元）</w:t>
            </w:r>
          </w:p>
        </w:tc>
        <w:tc>
          <w:tcPr>
            <w:tcW w:w="1937" w:type="dxa"/>
            <w:gridSpan w:val="2"/>
            <w:vAlign w:val="center"/>
          </w:tcPr>
          <w:p>
            <w:pPr>
              <w:spacing w:line="260" w:lineRule="exact"/>
              <w:jc w:val="center"/>
              <w:rPr>
                <w:rFonts w:asciiTheme="minorEastAsia" w:hAnsiTheme="minorEastAsia" w:eastAsiaTheme="minorEastAsia" w:cstheme="minorEastAsia"/>
                <w:szCs w:val="21"/>
              </w:rPr>
            </w:pPr>
          </w:p>
        </w:tc>
        <w:tc>
          <w:tcPr>
            <w:tcW w:w="1024" w:type="dxa"/>
            <w:gridSpan w:val="2"/>
            <w:vAlign w:val="center"/>
          </w:tcPr>
          <w:p>
            <w:pPr>
              <w:spacing w:line="260" w:lineRule="exact"/>
              <w:jc w:val="center"/>
              <w:rPr>
                <w:rFonts w:ascii="黑体" w:hAnsi="黑体" w:eastAsia="黑体" w:cs="黑体"/>
                <w:szCs w:val="21"/>
              </w:rPr>
            </w:pPr>
            <w:r>
              <w:rPr>
                <w:rFonts w:hint="eastAsia" w:ascii="黑体" w:hAnsi="黑体" w:eastAsia="黑体" w:cs="黑体"/>
                <w:szCs w:val="21"/>
              </w:rPr>
              <w:t>年初</w:t>
            </w:r>
          </w:p>
          <w:p>
            <w:pPr>
              <w:spacing w:line="260" w:lineRule="exact"/>
              <w:jc w:val="center"/>
              <w:rPr>
                <w:rFonts w:ascii="黑体" w:hAnsi="黑体" w:eastAsia="黑体" w:cs="黑体"/>
                <w:szCs w:val="21"/>
              </w:rPr>
            </w:pPr>
            <w:r>
              <w:rPr>
                <w:rFonts w:hint="eastAsia" w:ascii="黑体" w:hAnsi="黑体" w:eastAsia="黑体" w:cs="黑体"/>
                <w:szCs w:val="21"/>
              </w:rPr>
              <w:t>预算数</w:t>
            </w:r>
          </w:p>
        </w:tc>
        <w:tc>
          <w:tcPr>
            <w:tcW w:w="1043" w:type="dxa"/>
            <w:gridSpan w:val="2"/>
            <w:vAlign w:val="center"/>
          </w:tcPr>
          <w:p>
            <w:pPr>
              <w:spacing w:line="260" w:lineRule="exact"/>
              <w:jc w:val="center"/>
              <w:rPr>
                <w:rFonts w:ascii="黑体" w:hAnsi="黑体" w:eastAsia="黑体" w:cs="黑体"/>
                <w:szCs w:val="21"/>
              </w:rPr>
            </w:pPr>
            <w:r>
              <w:rPr>
                <w:rFonts w:hint="eastAsia" w:ascii="黑体" w:hAnsi="黑体" w:eastAsia="黑体" w:cs="黑体"/>
                <w:szCs w:val="21"/>
              </w:rPr>
              <w:t>全年</w:t>
            </w:r>
          </w:p>
          <w:p>
            <w:pPr>
              <w:spacing w:line="260" w:lineRule="exact"/>
              <w:jc w:val="center"/>
              <w:rPr>
                <w:rFonts w:ascii="黑体" w:hAnsi="黑体" w:eastAsia="黑体" w:cs="黑体"/>
                <w:szCs w:val="21"/>
              </w:rPr>
            </w:pPr>
            <w:r>
              <w:rPr>
                <w:rFonts w:hint="eastAsia" w:ascii="黑体" w:hAnsi="黑体" w:eastAsia="黑体" w:cs="黑体"/>
                <w:szCs w:val="21"/>
              </w:rPr>
              <w:t>预算数</w:t>
            </w:r>
          </w:p>
        </w:tc>
        <w:tc>
          <w:tcPr>
            <w:tcW w:w="969"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全年</w:t>
            </w:r>
          </w:p>
          <w:p>
            <w:pPr>
              <w:spacing w:line="260" w:lineRule="exact"/>
              <w:jc w:val="center"/>
              <w:rPr>
                <w:rFonts w:ascii="黑体" w:hAnsi="黑体" w:eastAsia="黑体" w:cs="黑体"/>
                <w:szCs w:val="21"/>
              </w:rPr>
            </w:pPr>
            <w:r>
              <w:rPr>
                <w:rFonts w:hint="eastAsia" w:ascii="黑体" w:hAnsi="黑体" w:eastAsia="黑体" w:cs="黑体"/>
                <w:szCs w:val="21"/>
              </w:rPr>
              <w:t>执行数</w:t>
            </w:r>
          </w:p>
        </w:tc>
        <w:tc>
          <w:tcPr>
            <w:tcW w:w="699"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分值</w:t>
            </w:r>
          </w:p>
        </w:tc>
        <w:tc>
          <w:tcPr>
            <w:tcW w:w="723"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执行率</w:t>
            </w:r>
          </w:p>
        </w:tc>
        <w:tc>
          <w:tcPr>
            <w:tcW w:w="1323"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bottom w:val="nil"/>
            </w:tcBorders>
            <w:vAlign w:val="center"/>
          </w:tcPr>
          <w:p>
            <w:pPr>
              <w:spacing w:line="260" w:lineRule="exact"/>
              <w:jc w:val="center"/>
              <w:rPr>
                <w:rFonts w:ascii="黑体" w:hAnsi="黑体" w:eastAsia="黑体" w:cs="黑体"/>
                <w:szCs w:val="21"/>
              </w:rPr>
            </w:pPr>
          </w:p>
        </w:tc>
        <w:tc>
          <w:tcPr>
            <w:tcW w:w="1937" w:type="dxa"/>
            <w:gridSpan w:val="2"/>
            <w:vAlign w:val="center"/>
          </w:tcPr>
          <w:p>
            <w:pPr>
              <w:spacing w:line="260" w:lineRule="exact"/>
              <w:jc w:val="center"/>
              <w:rPr>
                <w:rFonts w:asciiTheme="minorEastAsia" w:hAnsiTheme="minorEastAsia" w:eastAsiaTheme="minorEastAsia" w:cstheme="minorEastAsia"/>
                <w:szCs w:val="21"/>
              </w:rPr>
            </w:pPr>
            <w:r>
              <w:rPr>
                <w:rFonts w:hint="eastAsia" w:ascii="黑体" w:hAnsi="黑体" w:eastAsia="黑体" w:cs="黑体"/>
                <w:szCs w:val="21"/>
              </w:rPr>
              <w:t>年度资金总额</w:t>
            </w:r>
          </w:p>
        </w:tc>
        <w:tc>
          <w:tcPr>
            <w:tcW w:w="1024" w:type="dxa"/>
            <w:gridSpan w:val="2"/>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724.77</w:t>
            </w:r>
          </w:p>
        </w:tc>
        <w:tc>
          <w:tcPr>
            <w:tcW w:w="1043" w:type="dxa"/>
            <w:gridSpan w:val="2"/>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358.38</w:t>
            </w:r>
          </w:p>
        </w:tc>
        <w:tc>
          <w:tcPr>
            <w:tcW w:w="969"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358.38</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23"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1323"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bottom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ind w:firstLine="58" w:firstLineChars="28"/>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按收入性质分：</w:t>
            </w:r>
          </w:p>
        </w:tc>
        <w:tc>
          <w:tcPr>
            <w:tcW w:w="3714" w:type="dxa"/>
            <w:gridSpan w:val="4"/>
            <w:vAlign w:val="center"/>
          </w:tcPr>
          <w:p>
            <w:pPr>
              <w:spacing w:line="260" w:lineRule="exact"/>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bottom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ind w:firstLine="210" w:firstLineChars="100"/>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其中：一般公共预算：</w:t>
            </w:r>
            <w:r>
              <w:rPr>
                <w:rFonts w:hint="eastAsia" w:asciiTheme="minorEastAsia" w:hAnsiTheme="minorEastAsia" w:eastAsiaTheme="minorEastAsia" w:cstheme="minorEastAsia"/>
                <w:szCs w:val="21"/>
                <w:lang w:val="en-US" w:eastAsia="zh-CN"/>
              </w:rPr>
              <w:t>268.38</w:t>
            </w:r>
          </w:p>
        </w:tc>
        <w:tc>
          <w:tcPr>
            <w:tcW w:w="3714" w:type="dxa"/>
            <w:gridSpan w:val="4"/>
            <w:vAlign w:val="center"/>
          </w:tcPr>
          <w:p>
            <w:pPr>
              <w:spacing w:line="260" w:lineRule="exact"/>
              <w:ind w:firstLine="210" w:firstLineChars="100"/>
              <w:jc w:val="left"/>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其中：基本支出：</w:t>
            </w:r>
            <w:r>
              <w:rPr>
                <w:rFonts w:hint="eastAsia" w:asciiTheme="minorEastAsia" w:hAnsiTheme="minorEastAsia" w:eastAsiaTheme="minorEastAsia" w:cstheme="minorEastAsia"/>
                <w:szCs w:val="21"/>
                <w:lang w:val="en-US" w:eastAsia="zh-CN"/>
              </w:rPr>
              <w:t>228.38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bottom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ind w:firstLine="840" w:firstLineChars="400"/>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政府性基金拨款：</w:t>
            </w:r>
            <w:r>
              <w:rPr>
                <w:rFonts w:hint="eastAsia" w:asciiTheme="minorEastAsia" w:hAnsiTheme="minorEastAsia" w:eastAsiaTheme="minorEastAsia" w:cstheme="minorEastAsia"/>
                <w:szCs w:val="21"/>
                <w:lang w:val="en-US" w:eastAsia="zh-CN"/>
              </w:rPr>
              <w:t>90</w:t>
            </w:r>
          </w:p>
        </w:tc>
        <w:tc>
          <w:tcPr>
            <w:tcW w:w="3714" w:type="dxa"/>
            <w:gridSpan w:val="4"/>
            <w:vAlign w:val="center"/>
          </w:tcPr>
          <w:p>
            <w:pPr>
              <w:spacing w:line="260" w:lineRule="exact"/>
              <w:ind w:firstLine="840" w:firstLineChars="400"/>
              <w:jc w:val="left"/>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项目支出：</w:t>
            </w:r>
            <w:r>
              <w:rPr>
                <w:rFonts w:hint="eastAsia" w:asciiTheme="minorEastAsia" w:hAnsiTheme="minorEastAsia" w:eastAsiaTheme="minorEastAsia" w:cstheme="minorEastAsia"/>
                <w:szCs w:val="21"/>
                <w:lang w:val="en-US" w:eastAsia="zh-CN"/>
              </w:rPr>
              <w:t>130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bottom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ind w:firstLine="840" w:firstLineChars="4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纳入专户管理的非税收入拨款：</w:t>
            </w:r>
          </w:p>
        </w:tc>
        <w:tc>
          <w:tcPr>
            <w:tcW w:w="3714" w:type="dxa"/>
            <w:gridSpan w:val="4"/>
            <w:vAlign w:val="center"/>
          </w:tcPr>
          <w:p>
            <w:pPr>
              <w:spacing w:line="260" w:lineRule="exact"/>
              <w:jc w:val="left"/>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ind w:firstLine="840" w:firstLineChars="400"/>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其他资金：</w:t>
            </w:r>
          </w:p>
        </w:tc>
        <w:tc>
          <w:tcPr>
            <w:tcW w:w="3714" w:type="dxa"/>
            <w:gridSpan w:val="4"/>
            <w:vAlign w:val="center"/>
          </w:tcPr>
          <w:p>
            <w:pPr>
              <w:spacing w:line="260" w:lineRule="exact"/>
              <w:jc w:val="left"/>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restart"/>
            <w:tcBorders>
              <w:bottom w:val="nil"/>
            </w:tcBorders>
            <w:vAlign w:val="center"/>
          </w:tcPr>
          <w:p>
            <w:pPr>
              <w:spacing w:line="260" w:lineRule="exact"/>
              <w:jc w:val="center"/>
              <w:rPr>
                <w:rFonts w:ascii="黑体" w:hAnsi="黑体" w:eastAsia="黑体" w:cs="黑体"/>
                <w:szCs w:val="21"/>
              </w:rPr>
            </w:pPr>
            <w:r>
              <w:rPr>
                <w:rFonts w:hint="eastAsia" w:ascii="黑体" w:hAnsi="黑体" w:eastAsia="黑体" w:cs="黑体"/>
                <w:szCs w:val="21"/>
              </w:rPr>
              <w:t>年度总体目标</w:t>
            </w:r>
          </w:p>
        </w:tc>
        <w:tc>
          <w:tcPr>
            <w:tcW w:w="4004" w:type="dxa"/>
            <w:gridSpan w:val="6"/>
            <w:vAlign w:val="center"/>
          </w:tcPr>
          <w:p>
            <w:pPr>
              <w:spacing w:line="260" w:lineRule="exact"/>
              <w:jc w:val="center"/>
              <w:rPr>
                <w:rFonts w:ascii="黑体" w:hAnsi="黑体" w:eastAsia="黑体" w:cs="黑体"/>
                <w:szCs w:val="21"/>
              </w:rPr>
            </w:pPr>
            <w:r>
              <w:rPr>
                <w:rFonts w:hint="eastAsia" w:ascii="黑体" w:hAnsi="黑体" w:eastAsia="黑体" w:cs="黑体"/>
                <w:szCs w:val="21"/>
              </w:rPr>
              <w:t>预期目标</w:t>
            </w:r>
          </w:p>
        </w:tc>
        <w:tc>
          <w:tcPr>
            <w:tcW w:w="3714" w:type="dxa"/>
            <w:gridSpan w:val="4"/>
            <w:vAlign w:val="center"/>
          </w:tcPr>
          <w:p>
            <w:pPr>
              <w:spacing w:line="260" w:lineRule="exact"/>
              <w:jc w:val="center"/>
              <w:rPr>
                <w:rFonts w:ascii="黑体" w:hAnsi="黑体" w:eastAsia="黑体" w:cs="黑体"/>
                <w:szCs w:val="21"/>
              </w:rPr>
            </w:pPr>
            <w:r>
              <w:rPr>
                <w:rFonts w:hint="eastAsia" w:ascii="黑体" w:hAnsi="黑体" w:eastAsia="黑体" w:cs="黑体"/>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30" w:type="dxa"/>
            <w:vMerge w:val="continue"/>
            <w:tcBorders>
              <w:top w:val="nil"/>
            </w:tcBorders>
            <w:vAlign w:val="center"/>
          </w:tcPr>
          <w:p>
            <w:pPr>
              <w:spacing w:line="260" w:lineRule="exact"/>
              <w:jc w:val="center"/>
              <w:rPr>
                <w:rFonts w:ascii="黑体" w:hAnsi="黑体" w:eastAsia="黑体" w:cs="黑体"/>
                <w:szCs w:val="21"/>
              </w:rPr>
            </w:pPr>
          </w:p>
        </w:tc>
        <w:tc>
          <w:tcPr>
            <w:tcW w:w="4004" w:type="dxa"/>
            <w:gridSpan w:val="6"/>
            <w:vAlign w:val="center"/>
          </w:tcPr>
          <w:p>
            <w:pPr>
              <w:spacing w:line="260" w:lineRule="exact"/>
              <w:jc w:val="cente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任务1：健全预算管理制度、保障单位资金使用合规</w:t>
            </w:r>
          </w:p>
          <w:p>
            <w:pPr>
              <w:spacing w:line="260" w:lineRule="exact"/>
              <w:jc w:val="cente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任务2：贯彻落实厉行节约、严控“三公”经费</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任务3：保障部门重点工作实际完成率、重点工作质量达标率</w:t>
            </w:r>
          </w:p>
        </w:tc>
        <w:tc>
          <w:tcPr>
            <w:tcW w:w="3714" w:type="dxa"/>
            <w:gridSpan w:val="4"/>
            <w:vAlign w:val="center"/>
          </w:tcPr>
          <w:p>
            <w:pPr>
              <w:spacing w:line="260" w:lineRule="exact"/>
              <w:jc w:val="cente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1、本单位建立健全《财务管理制度》，以保证日常工作的正常开展</w:t>
            </w:r>
          </w:p>
          <w:p>
            <w:pPr>
              <w:spacing w:line="260" w:lineRule="exact"/>
              <w:jc w:val="center"/>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2、严格控制预算资金的管理和使用，做到专款专用，将财政资金效用发挥至最大。</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在县委县政府的正确领导下，聚焦“六稳”“六保”，在文明创建和城市建设工作双管齐下作战的情况下，团洁一心，敢打敢拼，在逆境中艰难前行，破解了一系列难题，较好地完成了市政设施维护各项工作和县委县政府及住建局交办的各项中心工作任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60" w:hRule="atLeast"/>
          <w:jc w:val="center"/>
        </w:trPr>
        <w:tc>
          <w:tcPr>
            <w:tcW w:w="830" w:type="dxa"/>
            <w:vMerge w:val="restart"/>
            <w:vAlign w:val="center"/>
          </w:tcPr>
          <w:p>
            <w:pPr>
              <w:spacing w:line="260" w:lineRule="exact"/>
              <w:jc w:val="center"/>
              <w:rPr>
                <w:rFonts w:ascii="黑体" w:hAnsi="黑体" w:eastAsia="黑体" w:cs="黑体"/>
                <w:szCs w:val="21"/>
              </w:rPr>
            </w:pPr>
            <w:r>
              <w:rPr>
                <w:rFonts w:hint="eastAsia" w:ascii="黑体" w:hAnsi="黑体" w:eastAsia="黑体" w:cs="黑体"/>
                <w:szCs w:val="21"/>
              </w:rPr>
              <w:t>绩</w:t>
            </w:r>
          </w:p>
          <w:p>
            <w:pPr>
              <w:spacing w:line="260" w:lineRule="exact"/>
              <w:jc w:val="center"/>
              <w:rPr>
                <w:rFonts w:ascii="黑体" w:hAnsi="黑体" w:eastAsia="黑体" w:cs="黑体"/>
                <w:szCs w:val="21"/>
              </w:rPr>
            </w:pPr>
            <w:r>
              <w:rPr>
                <w:rFonts w:hint="eastAsia" w:ascii="黑体" w:hAnsi="黑体" w:eastAsia="黑体" w:cs="黑体"/>
                <w:szCs w:val="21"/>
              </w:rPr>
              <w:t>效</w:t>
            </w:r>
          </w:p>
          <w:p>
            <w:pPr>
              <w:spacing w:line="260" w:lineRule="exact"/>
              <w:jc w:val="center"/>
              <w:rPr>
                <w:rFonts w:ascii="黑体" w:hAnsi="黑体" w:eastAsia="黑体" w:cs="黑体"/>
                <w:szCs w:val="21"/>
              </w:rPr>
            </w:pPr>
            <w:r>
              <w:rPr>
                <w:rFonts w:hint="eastAsia" w:ascii="黑体" w:hAnsi="黑体" w:eastAsia="黑体" w:cs="黑体"/>
                <w:szCs w:val="21"/>
              </w:rPr>
              <w:t>指</w:t>
            </w:r>
          </w:p>
          <w:p>
            <w:pPr>
              <w:spacing w:line="260" w:lineRule="exact"/>
              <w:jc w:val="center"/>
              <w:rPr>
                <w:rFonts w:ascii="黑体" w:hAnsi="黑体" w:eastAsia="黑体" w:cs="黑体"/>
                <w:szCs w:val="21"/>
              </w:rPr>
            </w:pPr>
            <w:r>
              <w:rPr>
                <w:rFonts w:hint="eastAsia" w:ascii="黑体" w:hAnsi="黑体" w:eastAsia="黑体" w:cs="黑体"/>
                <w:szCs w:val="21"/>
              </w:rPr>
              <w:t>标</w:t>
            </w:r>
          </w:p>
        </w:tc>
        <w:tc>
          <w:tcPr>
            <w:tcW w:w="993" w:type="dxa"/>
            <w:tcBorders>
              <w:bottom w:val="single" w:color="auto" w:sz="4" w:space="0"/>
            </w:tcBorders>
            <w:vAlign w:val="center"/>
          </w:tcPr>
          <w:p>
            <w:pPr>
              <w:spacing w:line="260" w:lineRule="exact"/>
              <w:jc w:val="center"/>
              <w:rPr>
                <w:rFonts w:ascii="黑体" w:hAnsi="黑体" w:eastAsia="黑体" w:cs="黑体"/>
                <w:szCs w:val="21"/>
              </w:rPr>
            </w:pPr>
            <w:r>
              <w:rPr>
                <w:rFonts w:hint="eastAsia" w:ascii="黑体" w:hAnsi="黑体" w:eastAsia="黑体" w:cs="黑体"/>
                <w:szCs w:val="21"/>
              </w:rPr>
              <w:t>一级</w:t>
            </w:r>
          </w:p>
          <w:p>
            <w:pPr>
              <w:spacing w:line="260" w:lineRule="exact"/>
              <w:jc w:val="center"/>
              <w:rPr>
                <w:rFonts w:ascii="黑体" w:hAnsi="黑体" w:eastAsia="黑体" w:cs="黑体"/>
                <w:szCs w:val="21"/>
              </w:rPr>
            </w:pPr>
            <w:r>
              <w:rPr>
                <w:rFonts w:hint="eastAsia" w:ascii="黑体" w:hAnsi="黑体" w:eastAsia="黑体" w:cs="黑体"/>
                <w:szCs w:val="21"/>
              </w:rPr>
              <w:t>指标</w:t>
            </w:r>
          </w:p>
        </w:tc>
        <w:tc>
          <w:tcPr>
            <w:tcW w:w="995" w:type="dxa"/>
            <w:gridSpan w:val="2"/>
            <w:vAlign w:val="center"/>
          </w:tcPr>
          <w:p>
            <w:pPr>
              <w:spacing w:line="260" w:lineRule="exact"/>
              <w:jc w:val="center"/>
              <w:rPr>
                <w:rFonts w:ascii="黑体" w:hAnsi="黑体" w:eastAsia="黑体" w:cs="黑体"/>
                <w:szCs w:val="21"/>
              </w:rPr>
            </w:pPr>
            <w:r>
              <w:rPr>
                <w:rFonts w:hint="eastAsia" w:ascii="黑体" w:hAnsi="黑体" w:eastAsia="黑体" w:cs="黑体"/>
                <w:szCs w:val="21"/>
              </w:rPr>
              <w:t>二级</w:t>
            </w:r>
          </w:p>
          <w:p>
            <w:pPr>
              <w:spacing w:line="260" w:lineRule="exact"/>
              <w:jc w:val="center"/>
              <w:rPr>
                <w:rFonts w:ascii="黑体" w:hAnsi="黑体" w:eastAsia="黑体" w:cs="黑体"/>
                <w:szCs w:val="21"/>
              </w:rPr>
            </w:pPr>
            <w:r>
              <w:rPr>
                <w:rFonts w:hint="eastAsia" w:ascii="黑体" w:hAnsi="黑体" w:eastAsia="黑体" w:cs="黑体"/>
                <w:szCs w:val="21"/>
              </w:rPr>
              <w:t>指标</w:t>
            </w:r>
          </w:p>
        </w:tc>
        <w:tc>
          <w:tcPr>
            <w:tcW w:w="995" w:type="dxa"/>
            <w:gridSpan w:val="2"/>
            <w:vAlign w:val="center"/>
          </w:tcPr>
          <w:p>
            <w:pPr>
              <w:spacing w:line="260" w:lineRule="exact"/>
              <w:jc w:val="center"/>
              <w:rPr>
                <w:rFonts w:ascii="黑体" w:hAnsi="黑体" w:eastAsia="黑体" w:cs="黑体"/>
                <w:szCs w:val="21"/>
              </w:rPr>
            </w:pPr>
            <w:r>
              <w:rPr>
                <w:rFonts w:hint="eastAsia" w:ascii="黑体" w:hAnsi="黑体" w:eastAsia="黑体" w:cs="黑体"/>
                <w:szCs w:val="21"/>
              </w:rPr>
              <w:t>三级</w:t>
            </w:r>
          </w:p>
          <w:p>
            <w:pPr>
              <w:spacing w:line="260" w:lineRule="exact"/>
              <w:jc w:val="center"/>
              <w:rPr>
                <w:rFonts w:ascii="黑体" w:hAnsi="黑体" w:eastAsia="黑体" w:cs="黑体"/>
                <w:szCs w:val="21"/>
              </w:rPr>
            </w:pPr>
            <w:r>
              <w:rPr>
                <w:rFonts w:hint="eastAsia" w:ascii="黑体" w:hAnsi="黑体" w:eastAsia="黑体" w:cs="黑体"/>
                <w:szCs w:val="21"/>
              </w:rPr>
              <w:t>指标</w:t>
            </w:r>
          </w:p>
        </w:tc>
        <w:tc>
          <w:tcPr>
            <w:tcW w:w="1021"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年度</w:t>
            </w:r>
          </w:p>
          <w:p>
            <w:pPr>
              <w:spacing w:line="260" w:lineRule="exact"/>
              <w:jc w:val="center"/>
              <w:rPr>
                <w:rFonts w:ascii="黑体" w:hAnsi="黑体" w:eastAsia="黑体" w:cs="黑体"/>
                <w:szCs w:val="21"/>
              </w:rPr>
            </w:pPr>
            <w:r>
              <w:rPr>
                <w:rFonts w:hint="eastAsia" w:ascii="黑体" w:hAnsi="黑体" w:eastAsia="黑体" w:cs="黑体"/>
                <w:szCs w:val="21"/>
              </w:rPr>
              <w:t>指标值</w:t>
            </w:r>
          </w:p>
        </w:tc>
        <w:tc>
          <w:tcPr>
            <w:tcW w:w="969"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实际</w:t>
            </w:r>
          </w:p>
          <w:p>
            <w:pPr>
              <w:spacing w:line="260" w:lineRule="exact"/>
              <w:jc w:val="center"/>
              <w:rPr>
                <w:rFonts w:ascii="黑体" w:hAnsi="黑体" w:eastAsia="黑体" w:cs="黑体"/>
                <w:szCs w:val="21"/>
              </w:rPr>
            </w:pPr>
            <w:r>
              <w:rPr>
                <w:rFonts w:hint="eastAsia" w:ascii="黑体" w:hAnsi="黑体" w:eastAsia="黑体" w:cs="黑体"/>
                <w:szCs w:val="21"/>
              </w:rPr>
              <w:t>完成值</w:t>
            </w:r>
          </w:p>
        </w:tc>
        <w:tc>
          <w:tcPr>
            <w:tcW w:w="699"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分值</w:t>
            </w:r>
          </w:p>
        </w:tc>
        <w:tc>
          <w:tcPr>
            <w:tcW w:w="723"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自评</w:t>
            </w:r>
          </w:p>
          <w:p>
            <w:pPr>
              <w:spacing w:line="260" w:lineRule="exact"/>
              <w:jc w:val="center"/>
              <w:rPr>
                <w:rFonts w:ascii="黑体" w:hAnsi="黑体" w:eastAsia="黑体" w:cs="黑体"/>
                <w:szCs w:val="21"/>
              </w:rPr>
            </w:pPr>
            <w:r>
              <w:rPr>
                <w:rFonts w:hint="eastAsia" w:ascii="黑体" w:hAnsi="黑体" w:eastAsia="黑体" w:cs="黑体"/>
                <w:szCs w:val="21"/>
              </w:rPr>
              <w:t>得分</w:t>
            </w:r>
          </w:p>
        </w:tc>
        <w:tc>
          <w:tcPr>
            <w:tcW w:w="1323" w:type="dxa"/>
            <w:vAlign w:val="center"/>
          </w:tcPr>
          <w:p>
            <w:pPr>
              <w:spacing w:line="260" w:lineRule="exact"/>
              <w:jc w:val="center"/>
              <w:rPr>
                <w:rFonts w:ascii="黑体" w:hAnsi="黑体" w:eastAsia="黑体" w:cs="黑体"/>
                <w:szCs w:val="21"/>
              </w:rPr>
            </w:pPr>
            <w:r>
              <w:rPr>
                <w:rFonts w:hint="eastAsia" w:ascii="黑体" w:hAnsi="黑体" w:eastAsia="黑体" w:cs="黑体"/>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restart"/>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产</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出</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数量</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 对城区沥青路面进行路面维修硬化及下水道改造</w:t>
            </w:r>
          </w:p>
        </w:tc>
        <w:tc>
          <w:tcPr>
            <w:tcW w:w="1021"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969"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城区路面及时得到修整硬化，城区下水道疏洗清淤工作及时完成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质量</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保障城区市政基础设施安全正常运行和重点区域下水道排放畅通</w:t>
            </w:r>
          </w:p>
        </w:tc>
        <w:tc>
          <w:tcPr>
            <w:tcW w:w="1021"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969"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时效</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监督管理的工程项目按期完成</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restart"/>
            <w:vAlign w:val="center"/>
          </w:tcPr>
          <w:p>
            <w:pPr>
              <w:spacing w:line="260" w:lineRule="exact"/>
              <w:jc w:val="center"/>
              <w:rPr>
                <w:rFonts w:ascii="黑体" w:hAnsi="黑体" w:eastAsia="黑体" w:cs="黑体"/>
                <w:szCs w:val="21"/>
              </w:rPr>
            </w:pPr>
            <w:r>
              <w:rPr>
                <w:rFonts w:hint="eastAsia" w:ascii="黑体" w:hAnsi="黑体" w:eastAsia="黑体" w:cs="黑体"/>
                <w:szCs w:val="21"/>
              </w:rPr>
              <w:t>绩</w:t>
            </w:r>
          </w:p>
          <w:p>
            <w:pPr>
              <w:spacing w:line="260" w:lineRule="exact"/>
              <w:jc w:val="center"/>
              <w:rPr>
                <w:rFonts w:ascii="黑体" w:hAnsi="黑体" w:eastAsia="黑体" w:cs="黑体"/>
                <w:szCs w:val="21"/>
              </w:rPr>
            </w:pPr>
            <w:r>
              <w:rPr>
                <w:rFonts w:hint="eastAsia" w:ascii="黑体" w:hAnsi="黑体" w:eastAsia="黑体" w:cs="黑体"/>
                <w:szCs w:val="21"/>
              </w:rPr>
              <w:t>效</w:t>
            </w:r>
          </w:p>
          <w:p>
            <w:pPr>
              <w:spacing w:line="260" w:lineRule="exact"/>
              <w:jc w:val="center"/>
              <w:rPr>
                <w:rFonts w:ascii="黑体" w:hAnsi="黑体" w:eastAsia="黑体" w:cs="黑体"/>
                <w:szCs w:val="21"/>
              </w:rPr>
            </w:pPr>
            <w:r>
              <w:rPr>
                <w:rFonts w:hint="eastAsia" w:ascii="黑体" w:hAnsi="黑体" w:eastAsia="黑体" w:cs="黑体"/>
                <w:szCs w:val="21"/>
              </w:rPr>
              <w:t>指</w:t>
            </w:r>
          </w:p>
          <w:p>
            <w:pPr>
              <w:spacing w:line="260" w:lineRule="exact"/>
              <w:jc w:val="center"/>
              <w:rPr>
                <w:rFonts w:asciiTheme="minorEastAsia" w:hAnsiTheme="minorEastAsia" w:eastAsiaTheme="minorEastAsia" w:cstheme="minorEastAsia"/>
                <w:szCs w:val="21"/>
              </w:rPr>
            </w:pPr>
            <w:r>
              <w:rPr>
                <w:rFonts w:hint="eastAsia" w:ascii="黑体" w:hAnsi="黑体" w:eastAsia="黑体" w:cs="黑体"/>
                <w:szCs w:val="21"/>
              </w:rPr>
              <w:t>标</w:t>
            </w:r>
          </w:p>
        </w:tc>
        <w:tc>
          <w:tcPr>
            <w:tcW w:w="993" w:type="dxa"/>
            <w:vMerge w:val="restart"/>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益</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维护城市的市容市貌</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城区市容整洁，道路及下水道破坏部分及时得到修整</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保障群众安全出行</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城区道路隐患得到整改，公用设施完好</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保障施工材料对环境影响</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施工材料环保要求符合国家标准</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left w:val="single" w:color="auto" w:sz="4" w:space="0"/>
              <w:bottom w:val="nil"/>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影响</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提高居民生活质量</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提高了居民生活质量，保障城区下水道排水通畅</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tcBorders>
              <w:top w:val="single" w:color="auto" w:sz="4" w:space="0"/>
              <w:left w:val="single" w:color="auto" w:sz="4" w:space="0"/>
              <w:bottom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（10分）</w:t>
            </w:r>
          </w:p>
        </w:tc>
        <w:tc>
          <w:tcPr>
            <w:tcW w:w="995" w:type="dxa"/>
            <w:gridSpan w:val="2"/>
            <w:tcBorders>
              <w:top w:val="single" w:color="auto" w:sz="4" w:space="0"/>
              <w:bottom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服务对象</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保障群众满意度</w:t>
            </w:r>
          </w:p>
        </w:tc>
        <w:tc>
          <w:tcPr>
            <w:tcW w:w="1021" w:type="dxa"/>
            <w:vAlign w:val="center"/>
          </w:tcPr>
          <w:p>
            <w:pPr>
              <w:spacing w:line="260" w:lineRule="exact"/>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95%</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restart"/>
            <w:tcBorders>
              <w:top w:val="single" w:color="auto" w:sz="4" w:space="0"/>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本</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（20分）</w:t>
            </w:r>
          </w:p>
        </w:tc>
        <w:tc>
          <w:tcPr>
            <w:tcW w:w="995" w:type="dxa"/>
            <w:gridSpan w:val="2"/>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成本控制在2023年整体预算之内</w:t>
            </w:r>
          </w:p>
        </w:tc>
        <w:tc>
          <w:tcPr>
            <w:tcW w:w="1021" w:type="dxa"/>
            <w:vAlign w:val="center"/>
          </w:tcPr>
          <w:p>
            <w:pPr>
              <w:spacing w:line="260" w:lineRule="exact"/>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决算数据小于整体预算</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宋体" w:hAnsi="宋体" w:eastAsia="宋体" w:cs="宋体"/>
                <w:i w:val="0"/>
                <w:caps w:val="0"/>
                <w:color w:val="000000"/>
                <w:spacing w:val="0"/>
                <w:sz w:val="21"/>
                <w:szCs w:val="21"/>
                <w:shd w:val="clear" w:fill="BAE7FF"/>
              </w:rPr>
              <w:t>提高市民的幸福生活指数</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宋体" w:hAnsi="宋体" w:eastAsia="宋体" w:cs="宋体"/>
                <w:i w:val="0"/>
                <w:caps w:val="0"/>
                <w:color w:val="000000"/>
                <w:spacing w:val="0"/>
                <w:sz w:val="21"/>
                <w:szCs w:val="21"/>
                <w:shd w:val="clear" w:fill="F5F5F5"/>
              </w:rPr>
              <w:t>提高市民的幸福生活指数</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30" w:type="dxa"/>
            <w:vMerge w:val="continue"/>
            <w:textDirection w:val="tbRlV"/>
            <w:vAlign w:val="center"/>
          </w:tcPr>
          <w:p>
            <w:pPr>
              <w:spacing w:line="260" w:lineRule="exact"/>
              <w:jc w:val="center"/>
              <w:rPr>
                <w:rFonts w:asciiTheme="minorEastAsia" w:hAnsiTheme="minorEastAsia" w:eastAsiaTheme="minorEastAsia" w:cstheme="minorEastAsia"/>
                <w:szCs w:val="21"/>
              </w:rPr>
            </w:pPr>
          </w:p>
        </w:tc>
        <w:tc>
          <w:tcPr>
            <w:tcW w:w="993" w:type="dxa"/>
            <w:vMerge w:val="continue"/>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p>
        </w:tc>
        <w:tc>
          <w:tcPr>
            <w:tcW w:w="995" w:type="dxa"/>
            <w:gridSpan w:val="2"/>
            <w:tcBorders>
              <w:top w:val="single" w:color="auto" w:sz="4" w:space="0"/>
              <w:righ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环境</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95" w:type="dxa"/>
            <w:gridSpan w:val="2"/>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提高当地人居环境</w:t>
            </w:r>
          </w:p>
        </w:tc>
        <w:tc>
          <w:tcPr>
            <w:tcW w:w="102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w:t>
            </w:r>
            <w:r>
              <w:rPr>
                <w:rFonts w:hint="eastAsia" w:asciiTheme="minorEastAsia" w:hAnsiTheme="minorEastAsia" w:eastAsiaTheme="minorEastAsia" w:cstheme="minorEastAsia"/>
                <w:szCs w:val="21"/>
                <w:lang w:eastAsia="zh-CN"/>
              </w:rPr>
              <w:t>了</w:t>
            </w:r>
            <w:r>
              <w:rPr>
                <w:rFonts w:hint="eastAsia" w:asciiTheme="minorEastAsia" w:hAnsiTheme="minorEastAsia" w:eastAsiaTheme="minorEastAsia" w:cstheme="minorEastAsia"/>
                <w:szCs w:val="21"/>
              </w:rPr>
              <w:t>当地人居环境</w:t>
            </w:r>
          </w:p>
        </w:tc>
        <w:tc>
          <w:tcPr>
            <w:tcW w:w="96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23"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23" w:type="dxa"/>
            <w:vAlign w:val="center"/>
          </w:tcPr>
          <w:p>
            <w:pPr>
              <w:spacing w:line="260" w:lineRule="exact"/>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03" w:type="dxa"/>
            <w:gridSpan w:val="8"/>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总分</w:t>
            </w:r>
          </w:p>
        </w:tc>
        <w:tc>
          <w:tcPr>
            <w:tcW w:w="699"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723" w:type="dxa"/>
            <w:vAlign w:val="center"/>
          </w:tcPr>
          <w:p>
            <w:pPr>
              <w:spacing w:line="260" w:lineRule="exact"/>
              <w:jc w:val="center"/>
              <w:rPr>
                <w:rFonts w:asciiTheme="minorEastAsia" w:hAnsiTheme="minorEastAsia" w:eastAsiaTheme="minorEastAsia" w:cstheme="minorEastAsia"/>
                <w:szCs w:val="21"/>
              </w:rPr>
            </w:pPr>
          </w:p>
        </w:tc>
        <w:tc>
          <w:tcPr>
            <w:tcW w:w="1323" w:type="dxa"/>
            <w:vAlign w:val="center"/>
          </w:tcPr>
          <w:p>
            <w:pPr>
              <w:spacing w:line="260" w:lineRule="exact"/>
              <w:jc w:val="center"/>
              <w:rPr>
                <w:rFonts w:asciiTheme="minorEastAsia" w:hAnsiTheme="minorEastAsia" w:eastAsiaTheme="minorEastAsia" w:cstheme="minorEastAsia"/>
                <w:szCs w:val="21"/>
              </w:rPr>
            </w:pPr>
          </w:p>
        </w:tc>
      </w:tr>
    </w:tbl>
    <w:p>
      <w:pPr>
        <w:rPr>
          <w:rFonts w:hint="eastAsia" w:eastAsia="宋体"/>
          <w:lang w:eastAsia="zh-CN"/>
        </w:rPr>
      </w:pPr>
      <w:r>
        <w:rPr>
          <w:rFonts w:hint="eastAsia"/>
        </w:rPr>
        <w:t>填表人：</w:t>
      </w:r>
      <w:r>
        <w:rPr>
          <w:rFonts w:hint="eastAsia"/>
          <w:lang w:eastAsia="zh-CN"/>
        </w:rPr>
        <w:t>付思瑶</w:t>
      </w:r>
      <w:r>
        <w:rPr>
          <w:rFonts w:hint="eastAsia"/>
          <w:lang w:val="en-US" w:eastAsia="zh-CN"/>
        </w:rPr>
        <w:t xml:space="preserve"> </w:t>
      </w:r>
      <w:r>
        <w:rPr>
          <w:rFonts w:hint="eastAsia"/>
        </w:rPr>
        <w:t>填报日期</w:t>
      </w:r>
      <w:r>
        <w:rPr>
          <w:rFonts w:hint="eastAsia"/>
          <w:lang w:eastAsia="zh-CN"/>
        </w:rPr>
        <w:t>：</w:t>
      </w:r>
      <w:r>
        <w:rPr>
          <w:rFonts w:hint="eastAsia"/>
          <w:lang w:val="en-US" w:eastAsia="zh-CN"/>
        </w:rPr>
        <w:t xml:space="preserve">2024.5.31   </w:t>
      </w:r>
      <w:r>
        <w:rPr>
          <w:rFonts w:hint="eastAsia"/>
        </w:rPr>
        <w:t>联系电话：</w:t>
      </w:r>
      <w:r>
        <w:rPr>
          <w:rFonts w:hint="eastAsia"/>
          <w:lang w:val="en-US" w:eastAsia="zh-CN"/>
        </w:rPr>
        <w:t xml:space="preserve">4186299  </w:t>
      </w:r>
      <w:r>
        <w:rPr>
          <w:rFonts w:hint="eastAsia"/>
        </w:rPr>
        <w:t>单位负责人签字：</w:t>
      </w:r>
      <w:r>
        <w:rPr>
          <w:rFonts w:hint="eastAsia"/>
          <w:lang w:val="en-US" w:eastAsia="zh-CN"/>
        </w:rPr>
        <w:t xml:space="preserve"> </w:t>
      </w:r>
    </w:p>
    <w:p>
      <w:r>
        <w:rPr>
          <w:rFonts w:hint="eastAsia"/>
        </w:rPr>
        <w:br w:type="page"/>
      </w: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jc w:val="center"/>
        <w:rPr>
          <w:rFonts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sz w:val="44"/>
          <w:szCs w:val="44"/>
        </w:rPr>
        <w:t>2023年度</w:t>
      </w:r>
      <w:r>
        <w:rPr>
          <w:rFonts w:hint="eastAsia" w:ascii="方正小标宋简体" w:hAnsi="方正小标宋简体" w:eastAsia="方正小标宋简体" w:cs="方正小标宋简体"/>
          <w:sz w:val="44"/>
          <w:szCs w:val="44"/>
          <w:lang w:eastAsia="zh-CN"/>
        </w:rPr>
        <w:t>华容县城乡建设事务中心</w:t>
      </w: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项目支出绩效自评报告</w:t>
      </w:r>
    </w:p>
    <w:p>
      <w:pPr>
        <w:jc w:val="center"/>
        <w:rPr>
          <w:rFonts w:eastAsia="方正小标宋_GBK"/>
          <w:b/>
          <w:sz w:val="52"/>
          <w:szCs w:val="52"/>
        </w:rPr>
      </w:pPr>
    </w:p>
    <w:p>
      <w:pPr>
        <w:jc w:val="center"/>
        <w:rPr>
          <w:rFonts w:eastAsia="黑体"/>
          <w:sz w:val="32"/>
          <w:szCs w:val="32"/>
        </w:rPr>
      </w:pPr>
    </w:p>
    <w:p>
      <w:pPr>
        <w:pStyle w:val="2"/>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rPr>
          <w:rFonts w:eastAsia="黑体"/>
          <w:sz w:val="32"/>
          <w:szCs w:val="32"/>
        </w:rPr>
      </w:pPr>
    </w:p>
    <w:p>
      <w:pPr>
        <w:pStyle w:val="4"/>
        <w:spacing w:before="100" w:line="221" w:lineRule="auto"/>
        <w:ind w:firstLine="600" w:firstLineChars="200"/>
        <w:rPr>
          <w:rFonts w:ascii="仿宋_GB2312" w:hAnsi="仿宋_GB2312" w:eastAsia="仿宋_GB2312" w:cs="仿宋_GB2312"/>
          <w:sz w:val="32"/>
          <w:szCs w:val="32"/>
          <w:lang w:eastAsia="zh-CN"/>
        </w:rPr>
      </w:pPr>
      <w:r>
        <w:rPr>
          <w:rFonts w:hint="eastAsia" w:ascii="仿宋_GB2312" w:hAnsi="仿宋_GB2312" w:eastAsia="仿宋_GB2312" w:cs="仿宋_GB2312"/>
          <w:spacing w:val="-10"/>
          <w:sz w:val="32"/>
          <w:szCs w:val="32"/>
          <w:lang w:eastAsia="zh-CN"/>
        </w:rPr>
        <w:t>部门（单位）名称</w:t>
      </w:r>
      <w:r>
        <w:rPr>
          <w:rFonts w:hint="eastAsia" w:ascii="仿宋_GB2312" w:hAnsi="仿宋_GB2312" w:eastAsia="仿宋_GB2312" w:cs="仿宋_GB2312"/>
          <w:spacing w:val="4"/>
          <w:sz w:val="32"/>
          <w:szCs w:val="32"/>
          <w:lang w:eastAsia="zh-CN"/>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lang w:eastAsia="zh-CN"/>
        </w:rPr>
        <w:t xml:space="preserve"> </w:t>
      </w:r>
      <w:r>
        <w:rPr>
          <w:rFonts w:hint="eastAsia" w:ascii="仿宋_GB2312" w:hAnsi="仿宋_GB2312" w:eastAsia="仿宋_GB2312" w:cs="仿宋_GB2312"/>
          <w:spacing w:val="-75"/>
          <w:sz w:val="32"/>
          <w:szCs w:val="32"/>
          <w:u w:val="single"/>
          <w:lang w:eastAsia="zh-CN"/>
        </w:rPr>
        <w:t xml:space="preserve"> </w:t>
      </w:r>
      <w:r>
        <w:rPr>
          <w:rFonts w:hint="eastAsia" w:ascii="仿宋_GB2312" w:hAnsi="仿宋_GB2312" w:eastAsia="仿宋_GB2312" w:cs="仿宋_GB2312"/>
          <w:spacing w:val="-10"/>
          <w:sz w:val="32"/>
          <w:szCs w:val="32"/>
          <w:u w:val="single"/>
          <w:lang w:eastAsia="zh-CN"/>
        </w:rPr>
        <w:t>盖章）</w:t>
      </w:r>
      <w:r>
        <w:rPr>
          <w:rFonts w:hint="eastAsia" w:ascii="仿宋_GB2312" w:hAnsi="仿宋_GB2312" w:eastAsia="仿宋_GB2312" w:cs="仿宋_GB2312"/>
          <w:sz w:val="32"/>
          <w:szCs w:val="32"/>
          <w:u w:val="single"/>
          <w:lang w:eastAsia="zh-CN"/>
        </w:rPr>
        <w:t xml:space="preserve">              </w:t>
      </w:r>
    </w:p>
    <w:p>
      <w:pPr>
        <w:spacing w:before="228" w:line="222" w:lineRule="auto"/>
        <w:ind w:firstLine="4560" w:firstLineChars="15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4"/>
        <w:spacing w:before="102" w:line="224" w:lineRule="auto"/>
        <w:ind w:left="3216"/>
        <w:rPr>
          <w:rFonts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（此页为封面）</w:t>
      </w:r>
    </w:p>
    <w:p>
      <w:pPr>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spacing w:line="610" w:lineRule="exact"/>
        <w:jc w:val="center"/>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sz w:val="44"/>
          <w:szCs w:val="44"/>
        </w:rPr>
        <w:t>2023年度</w:t>
      </w:r>
      <w:r>
        <w:rPr>
          <w:rFonts w:hint="eastAsia" w:ascii="方正小标宋简体" w:hAnsi="方正小标宋简体" w:eastAsia="方正小标宋简体" w:cs="方正小标宋简体"/>
          <w:sz w:val="44"/>
          <w:szCs w:val="44"/>
          <w:lang w:eastAsia="zh-CN"/>
        </w:rPr>
        <w:t>华容县城乡建设事务中心</w:t>
      </w:r>
    </w:p>
    <w:p>
      <w:pPr>
        <w:spacing w:line="610" w:lineRule="exact"/>
        <w:jc w:val="center"/>
        <w:rPr>
          <w:rFonts w:eastAsia="仿宋_GB2312"/>
          <w:sz w:val="32"/>
          <w:szCs w:val="32"/>
        </w:rPr>
      </w:pPr>
      <w:r>
        <w:rPr>
          <w:rFonts w:hint="eastAsia" w:ascii="方正小标宋简体" w:hAnsi="方正小标宋简体" w:eastAsia="方正小标宋简体" w:cs="方正小标宋简体"/>
          <w:sz w:val="44"/>
          <w:szCs w:val="44"/>
        </w:rPr>
        <w:t>项目支出绩效自评报告</w:t>
      </w:r>
    </w:p>
    <w:p>
      <w:pPr>
        <w:spacing w:line="610" w:lineRule="exact"/>
        <w:ind w:firstLine="600" w:firstLineChars="200"/>
        <w:rPr>
          <w:rFonts w:ascii="黑体" w:hAnsi="黑体" w:eastAsia="黑体" w:cs="黑体"/>
          <w:sz w:val="30"/>
          <w:szCs w:val="30"/>
        </w:rPr>
      </w:pP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一、基本情况</w:t>
      </w:r>
    </w:p>
    <w:p>
      <w:pPr>
        <w:spacing w:line="360" w:lineRule="exact"/>
        <w:ind w:firstLine="640" w:firstLineChars="200"/>
        <w:rPr>
          <w:rFonts w:hint="eastAsia" w:ascii="楷体" w:hAnsi="楷体" w:eastAsia="楷体" w:cs="楷体"/>
          <w:sz w:val="32"/>
          <w:szCs w:val="32"/>
        </w:rPr>
      </w:pPr>
      <w:r>
        <w:rPr>
          <w:rFonts w:hint="eastAsia" w:eastAsia="仿宋_GB2312"/>
          <w:sz w:val="32"/>
          <w:szCs w:val="32"/>
        </w:rPr>
        <w:t>（一）</w:t>
      </w:r>
      <w:r>
        <w:rPr>
          <w:rFonts w:hint="eastAsia" w:ascii="楷体" w:hAnsi="楷体" w:eastAsia="楷体" w:cs="楷体"/>
          <w:sz w:val="32"/>
          <w:szCs w:val="32"/>
        </w:rPr>
        <w:t>项目概况</w:t>
      </w:r>
    </w:p>
    <w:p>
      <w:pPr>
        <w:spacing w:line="360" w:lineRule="exact"/>
        <w:ind w:firstLine="640" w:firstLineChars="200"/>
        <w:rPr>
          <w:rFonts w:ascii="仿宋" w:hAnsi="仿宋" w:eastAsia="仿宋"/>
          <w:sz w:val="32"/>
          <w:szCs w:val="32"/>
        </w:rPr>
      </w:pPr>
      <w:r>
        <w:rPr>
          <w:rFonts w:hint="eastAsia" w:ascii="仿宋" w:hAnsi="仿宋" w:eastAsia="仿宋"/>
          <w:sz w:val="32"/>
          <w:szCs w:val="32"/>
        </w:rPr>
        <w:t>根据县委编办《关于调整华容县城区供水排水和排污排涝有关机构编制事项的通知》（华编〔2023〕7号）文件第二条将县城管局所属事业单位县市政公用设施服务中心承担的城市排水设施、地下排水管网及其附属设施的日常管理维修和养护职责划入县住建局，由县住建局所属事业单位县城乡事务中心具体承担。为解决城区居民因排水管网及其附属设施破损、堵塞等原因造成的不便，我中心根据市民“12345”热线、各社区反映及中心工作人员日常巡查发现问题，对城区排水管网及其附属设施进行了日常维护管理工作。经现场查勘后积极处理，确定问题原因及处理方案后，依规依程序通过电子卖场确定施工队进行维护施工，施工完成后组织验收。2023年完成了书院北路、沿河北路、新市街等34处较大部位维护维修及若干雨水篦、检查井井盖更换，完成投资</w:t>
      </w:r>
      <w:r>
        <w:rPr>
          <w:rFonts w:hint="eastAsia" w:ascii="仿宋" w:hAnsi="仿宋" w:eastAsia="仿宋"/>
          <w:sz w:val="32"/>
          <w:szCs w:val="32"/>
          <w:lang w:eastAsia="zh-CN"/>
        </w:rPr>
        <w:t>130</w:t>
      </w:r>
      <w:r>
        <w:rPr>
          <w:rFonts w:hint="eastAsia" w:ascii="仿宋" w:hAnsi="仿宋" w:eastAsia="仿宋"/>
          <w:sz w:val="32"/>
          <w:szCs w:val="32"/>
        </w:rPr>
        <w:t>万元。</w:t>
      </w:r>
    </w:p>
    <w:p>
      <w:pPr>
        <w:spacing w:line="360" w:lineRule="exact"/>
        <w:ind w:firstLine="640" w:firstLineChars="200"/>
        <w:rPr>
          <w:rFonts w:ascii="仿宋" w:hAnsi="仿宋" w:eastAsia="仿宋"/>
          <w:sz w:val="32"/>
          <w:szCs w:val="32"/>
        </w:rPr>
      </w:pPr>
      <w:r>
        <w:rPr>
          <w:rFonts w:hint="eastAsia" w:ascii="楷体" w:hAnsi="楷体" w:eastAsia="楷体" w:cs="楷体"/>
          <w:sz w:val="32"/>
          <w:szCs w:val="32"/>
        </w:rPr>
        <w:t>项目资金使用及管理情况：</w:t>
      </w:r>
      <w:r>
        <w:rPr>
          <w:rFonts w:hint="eastAsia" w:ascii="仿宋" w:hAnsi="仿宋" w:eastAsia="仿宋"/>
          <w:sz w:val="32"/>
          <w:szCs w:val="32"/>
        </w:rPr>
        <w:t>项目资金到位情况。财政局下达事业发展资金预算</w:t>
      </w:r>
      <w:r>
        <w:rPr>
          <w:rFonts w:hint="eastAsia" w:ascii="仿宋" w:hAnsi="仿宋" w:eastAsia="仿宋"/>
          <w:sz w:val="32"/>
          <w:szCs w:val="32"/>
          <w:lang w:eastAsia="zh-CN"/>
        </w:rPr>
        <w:t>130</w:t>
      </w:r>
      <w:r>
        <w:rPr>
          <w:rFonts w:hint="eastAsia" w:ascii="仿宋" w:hAnsi="仿宋" w:eastAsia="仿宋"/>
          <w:sz w:val="32"/>
          <w:szCs w:val="32"/>
        </w:rPr>
        <w:t>万元，到位率100%。项目资金执行情况。资金主要用于保障县城区排水管网及其附属设施正常运行，2023年度实际使用</w:t>
      </w:r>
      <w:r>
        <w:rPr>
          <w:rFonts w:hint="eastAsia" w:ascii="仿宋" w:hAnsi="仿宋" w:eastAsia="仿宋"/>
          <w:sz w:val="32"/>
          <w:szCs w:val="32"/>
          <w:lang w:eastAsia="zh-CN"/>
        </w:rPr>
        <w:t>130</w:t>
      </w:r>
      <w:r>
        <w:rPr>
          <w:rFonts w:hint="eastAsia" w:ascii="仿宋" w:hAnsi="仿宋" w:eastAsia="仿宋"/>
          <w:sz w:val="32"/>
          <w:szCs w:val="32"/>
        </w:rPr>
        <w:t>万元，资金使用率100%。项目资金管理情况。项目资金严格按照项目实施内容，专款专用进行项目资金的管理使用。</w:t>
      </w:r>
    </w:p>
    <w:p>
      <w:pPr>
        <w:spacing w:line="610" w:lineRule="exact"/>
        <w:ind w:firstLine="640" w:firstLineChars="200"/>
        <w:rPr>
          <w:rFonts w:eastAsia="仿宋_GB2312"/>
          <w:sz w:val="32"/>
          <w:szCs w:val="32"/>
        </w:rPr>
      </w:pPr>
    </w:p>
    <w:p>
      <w:pPr>
        <w:numPr>
          <w:ilvl w:val="0"/>
          <w:numId w:val="1"/>
        </w:numPr>
        <w:spacing w:line="610" w:lineRule="exact"/>
        <w:ind w:firstLine="640" w:firstLineChars="200"/>
        <w:rPr>
          <w:rFonts w:eastAsia="仿宋_GB2312"/>
          <w:sz w:val="32"/>
          <w:szCs w:val="32"/>
        </w:rPr>
      </w:pPr>
      <w:r>
        <w:rPr>
          <w:rFonts w:hint="eastAsia" w:eastAsia="仿宋_GB2312"/>
          <w:sz w:val="32"/>
          <w:szCs w:val="32"/>
        </w:rPr>
        <w:t>项目绩效目标。</w:t>
      </w:r>
    </w:p>
    <w:p>
      <w:pPr>
        <w:numPr>
          <w:ilvl w:val="0"/>
          <w:numId w:val="0"/>
        </w:numPr>
        <w:spacing w:line="610" w:lineRule="exact"/>
        <w:ind w:firstLine="1600" w:firstLineChars="500"/>
        <w:rPr>
          <w:rFonts w:eastAsia="仿宋_GB2312"/>
          <w:sz w:val="32"/>
          <w:szCs w:val="32"/>
        </w:rPr>
      </w:pPr>
      <w:r>
        <w:rPr>
          <w:rFonts w:hint="eastAsia" w:ascii="仿宋" w:hAnsi="仿宋" w:eastAsia="仿宋"/>
          <w:sz w:val="32"/>
          <w:szCs w:val="32"/>
        </w:rPr>
        <w:t>该项目总体目标为县城区排水管网及设施常年正常运行。2023年阶段性目标为完成34处较大部位维修维护工作，确保城区排水管网及其附属设施不出现因维护不到位而造成居民生活生产受损失的情况。</w:t>
      </w:r>
    </w:p>
    <w:p>
      <w:pPr>
        <w:spacing w:line="610" w:lineRule="exact"/>
        <w:ind w:firstLine="640" w:firstLineChars="200"/>
        <w:rPr>
          <w:rFonts w:eastAsia="仿宋_GB2312"/>
          <w:sz w:val="32"/>
          <w:szCs w:val="32"/>
        </w:rPr>
      </w:pP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二、绩效评价工作开展情况</w:t>
      </w:r>
    </w:p>
    <w:p>
      <w:pPr>
        <w:spacing w:line="610" w:lineRule="exact"/>
        <w:ind w:firstLine="640" w:firstLineChars="200"/>
        <w:rPr>
          <w:rFonts w:hint="eastAsia" w:eastAsia="仿宋_GB2312"/>
          <w:sz w:val="32"/>
          <w:szCs w:val="32"/>
        </w:rPr>
      </w:pPr>
      <w:r>
        <w:rPr>
          <w:rFonts w:hint="eastAsia" w:eastAsia="仿宋_GB2312"/>
          <w:sz w:val="32"/>
          <w:szCs w:val="32"/>
        </w:rPr>
        <w:t>（一）绩效评价目的、对象和范围。</w:t>
      </w:r>
    </w:p>
    <w:p>
      <w:pPr>
        <w:spacing w:line="610" w:lineRule="exact"/>
        <w:ind w:firstLine="640" w:firstLineChars="200"/>
        <w:rPr>
          <w:rFonts w:eastAsia="仿宋_GB2312"/>
          <w:sz w:val="32"/>
          <w:szCs w:val="32"/>
        </w:rPr>
      </w:pPr>
      <w:r>
        <w:rPr>
          <w:rFonts w:hint="eastAsia" w:ascii="仿宋" w:hAnsi="仿宋" w:eastAsia="仿宋"/>
          <w:sz w:val="32"/>
          <w:szCs w:val="32"/>
        </w:rPr>
        <w:t>评价华容县城区污水管网及其附属设施维护项目存在的必要性、项目管理是否规范、项目绩效是否突出，从而为专项决策提供依据，进一步规范专项管理，提高县城区排水管网及其附属设施日常维护资金使用绩效。</w:t>
      </w:r>
    </w:p>
    <w:p>
      <w:pPr>
        <w:pStyle w:val="2"/>
      </w:pPr>
    </w:p>
    <w:p>
      <w:pPr>
        <w:numPr>
          <w:ilvl w:val="0"/>
          <w:numId w:val="1"/>
        </w:numPr>
        <w:spacing w:line="610" w:lineRule="exact"/>
        <w:ind w:left="0" w:leftChars="0" w:firstLine="640" w:firstLineChars="200"/>
        <w:rPr>
          <w:rFonts w:hint="eastAsia" w:eastAsia="仿宋_GB2312"/>
          <w:sz w:val="32"/>
          <w:szCs w:val="32"/>
        </w:rPr>
      </w:pPr>
      <w:r>
        <w:rPr>
          <w:rFonts w:hint="eastAsia" w:eastAsia="仿宋_GB2312"/>
          <w:sz w:val="32"/>
          <w:szCs w:val="32"/>
        </w:rPr>
        <w:t>绩效评价原则、评价指标体系（附表说明）、评价方法、评价标准等。</w:t>
      </w:r>
    </w:p>
    <w:p>
      <w:pPr>
        <w:pStyle w:val="2"/>
        <w:numPr>
          <w:ilvl w:val="0"/>
          <w:numId w:val="0"/>
        </w:numPr>
        <w:ind w:leftChars="200"/>
      </w:pPr>
      <w:r>
        <w:rPr>
          <w:rFonts w:hint="eastAsia" w:ascii="仿宋" w:hAnsi="仿宋" w:eastAsia="仿宋"/>
          <w:sz w:val="32"/>
          <w:szCs w:val="32"/>
        </w:rPr>
        <w:t>定量与定性分析相结合的原则；真实性、科学性、规范性原则。目标效益分析法和公众评判法。</w:t>
      </w:r>
    </w:p>
    <w:p>
      <w:pPr>
        <w:numPr>
          <w:ilvl w:val="0"/>
          <w:numId w:val="1"/>
        </w:numPr>
        <w:spacing w:line="610" w:lineRule="exact"/>
        <w:ind w:left="0" w:leftChars="0" w:firstLine="640" w:firstLineChars="200"/>
        <w:rPr>
          <w:rFonts w:hint="eastAsia" w:eastAsia="仿宋_GB2312"/>
          <w:sz w:val="32"/>
          <w:szCs w:val="32"/>
        </w:rPr>
      </w:pPr>
      <w:r>
        <w:rPr>
          <w:rFonts w:hint="eastAsia" w:eastAsia="仿宋_GB2312"/>
          <w:sz w:val="32"/>
          <w:szCs w:val="32"/>
        </w:rPr>
        <w:t>绩效评价工作过程。</w:t>
      </w:r>
    </w:p>
    <w:p>
      <w:pPr>
        <w:pStyle w:val="2"/>
        <w:numPr>
          <w:ilvl w:val="0"/>
          <w:numId w:val="0"/>
        </w:numPr>
        <w:ind w:leftChars="200" w:firstLine="960" w:firstLineChars="300"/>
      </w:pPr>
      <w:r>
        <w:rPr>
          <w:rFonts w:hint="eastAsia" w:ascii="仿宋" w:hAnsi="仿宋" w:eastAsia="仿宋"/>
          <w:sz w:val="32"/>
          <w:szCs w:val="32"/>
        </w:rPr>
        <w:t>1、前期准备。县城乡建设事务中心填报了《2023年度专项资金预算绩效目标申报表》。2、组织实施。县城乡建设事务中心成立专门的组织机构—华容县城区排水管网及其附属设施维护专项资金绩效目标管理工作领导小组依法履行监督考核职能，进行自评。3、分析评价。通过政策文件、基础数据、资金使用效益和问卷调查分析等多种信息进行分析评价，最后撰写出绩效评价报告。</w:t>
      </w:r>
    </w:p>
    <w:p>
      <w:pPr>
        <w:spacing w:line="61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 xml:space="preserve">三、综合评价情况及评价结论 </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楷体" w:hAnsi="楷体" w:eastAsia="楷体" w:cs="楷体"/>
          <w:sz w:val="32"/>
          <w:szCs w:val="32"/>
        </w:rPr>
        <w:t>综合评价情况：</w:t>
      </w:r>
      <w:r>
        <w:rPr>
          <w:rFonts w:hint="eastAsia" w:ascii="仿宋" w:hAnsi="仿宋" w:eastAsia="仿宋"/>
          <w:kern w:val="2"/>
          <w:sz w:val="32"/>
          <w:szCs w:val="32"/>
        </w:rPr>
        <w:t>项目管理做到了管理规范，操作阳光透明，运行有序高效，服务态度优质，群众满意度高，确保了城区排水畅。</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仿宋" w:hAnsi="仿宋" w:eastAsia="仿宋"/>
          <w:kern w:val="2"/>
          <w:sz w:val="32"/>
          <w:szCs w:val="32"/>
        </w:rPr>
        <w:t>在项目管理上，通过逐步规范申报审批支付程序，确保了县城区排水管网及其附属设施维护工作高效运转。</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仿宋" w:hAnsi="仿宋" w:eastAsia="仿宋"/>
          <w:kern w:val="2"/>
          <w:sz w:val="32"/>
          <w:szCs w:val="32"/>
        </w:rPr>
        <w:t>在资金管理上，严格按照规定，实行专款专用，确保了城区排水管网及其附属设施维护专项资金及时支付到位。</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楷体" w:hAnsi="楷体" w:eastAsia="楷体" w:cs="楷体"/>
          <w:sz w:val="32"/>
          <w:szCs w:val="32"/>
        </w:rPr>
        <w:t>评价结论：</w:t>
      </w:r>
      <w:r>
        <w:rPr>
          <w:rFonts w:hint="eastAsia" w:ascii="仿宋" w:hAnsi="仿宋" w:eastAsia="仿宋"/>
          <w:kern w:val="2"/>
          <w:sz w:val="32"/>
          <w:szCs w:val="32"/>
        </w:rPr>
        <w:t>2023年度城区排水管网及其附属设施维护专项资金，达到了绩效目标要求，确保了县城区排水管网及其附属设施的正常运行。项目管理规范，资金管理安全，资金拨付及时到位，社会效益比较显著，群众满意率高。</w:t>
      </w:r>
    </w:p>
    <w:p>
      <w:pPr>
        <w:pStyle w:val="2"/>
      </w:pP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四、绩效评价指标分析</w:t>
      </w:r>
    </w:p>
    <w:p>
      <w:pPr>
        <w:spacing w:line="610" w:lineRule="exact"/>
        <w:ind w:firstLine="640" w:firstLineChars="200"/>
        <w:rPr>
          <w:rFonts w:eastAsia="仿宋_GB2312"/>
          <w:sz w:val="32"/>
          <w:szCs w:val="32"/>
        </w:rPr>
      </w:pPr>
      <w:r>
        <w:rPr>
          <w:rFonts w:hint="eastAsia" w:eastAsia="仿宋_GB2312"/>
          <w:sz w:val="32"/>
          <w:szCs w:val="32"/>
        </w:rPr>
        <w:t>（一）项目决策情况。</w:t>
      </w:r>
    </w:p>
    <w:p>
      <w:pPr>
        <w:pStyle w:val="9"/>
      </w:pPr>
      <w:r>
        <w:rPr>
          <w:rFonts w:hint="eastAsia" w:ascii="仿宋" w:hAnsi="仿宋" w:eastAsia="仿宋"/>
          <w:sz w:val="32"/>
          <w:szCs w:val="32"/>
        </w:rPr>
        <w:t>根据县委编办《关于调整华容县城区供水排水和排污排涝有关机构编制事项的通知》（华编〔2023〕7号）</w:t>
      </w:r>
    </w:p>
    <w:p>
      <w:pPr>
        <w:spacing w:line="610" w:lineRule="exact"/>
        <w:ind w:firstLine="640" w:firstLineChars="200"/>
        <w:rPr>
          <w:rFonts w:eastAsia="仿宋_GB2312"/>
          <w:sz w:val="32"/>
          <w:szCs w:val="32"/>
        </w:rPr>
      </w:pPr>
      <w:r>
        <w:rPr>
          <w:rFonts w:hint="eastAsia" w:eastAsia="仿宋_GB2312"/>
          <w:sz w:val="32"/>
          <w:szCs w:val="32"/>
        </w:rPr>
        <w:t>（二）项目过程情况。</w:t>
      </w:r>
    </w:p>
    <w:p>
      <w:pPr>
        <w:pStyle w:val="9"/>
      </w:pPr>
      <w:r>
        <w:rPr>
          <w:rFonts w:hint="eastAsia" w:ascii="仿宋" w:hAnsi="仿宋" w:eastAsia="仿宋"/>
          <w:sz w:val="32"/>
          <w:szCs w:val="32"/>
        </w:rPr>
        <w:t>我中心根据市民“12345”热线、各社区反映及中心工作人员日常巡查发现问题，对城区排水管网及其附属设施进行了日常维护管理工作。经现场查勘后积极处理，确定问题原因及处理方案后，依规依程序通过电子卖场确定施工队进行维护施工，施工完成后组织验收。</w:t>
      </w:r>
    </w:p>
    <w:p>
      <w:pPr>
        <w:spacing w:line="610" w:lineRule="exact"/>
        <w:ind w:firstLine="640" w:firstLineChars="200"/>
        <w:rPr>
          <w:rFonts w:eastAsia="仿宋_GB2312"/>
          <w:sz w:val="32"/>
          <w:szCs w:val="32"/>
        </w:rPr>
      </w:pPr>
      <w:r>
        <w:rPr>
          <w:rFonts w:hint="eastAsia" w:eastAsia="仿宋_GB2312"/>
          <w:sz w:val="32"/>
          <w:szCs w:val="32"/>
        </w:rPr>
        <w:t>（三）项目产出情况。</w:t>
      </w:r>
    </w:p>
    <w:p>
      <w:pPr>
        <w:spacing w:line="360" w:lineRule="exact"/>
        <w:ind w:firstLine="640" w:firstLineChars="200"/>
        <w:rPr>
          <w:rFonts w:ascii="仿宋" w:hAnsi="仿宋" w:eastAsia="仿宋"/>
          <w:sz w:val="32"/>
          <w:szCs w:val="32"/>
        </w:rPr>
      </w:pPr>
      <w:r>
        <w:rPr>
          <w:rFonts w:hint="eastAsia" w:ascii="仿宋" w:hAnsi="仿宋" w:eastAsia="仿宋"/>
          <w:sz w:val="32"/>
          <w:szCs w:val="32"/>
        </w:rPr>
        <w:t>2023年完成了书院北路、沿河北路、新市街等34处较大部位维护维修及若干雨水篦、检查井井盖更换，完成投资</w:t>
      </w:r>
      <w:r>
        <w:rPr>
          <w:rFonts w:hint="eastAsia" w:ascii="仿宋" w:hAnsi="仿宋" w:eastAsia="仿宋"/>
          <w:sz w:val="32"/>
          <w:szCs w:val="32"/>
          <w:lang w:eastAsia="zh-CN"/>
        </w:rPr>
        <w:t>130</w:t>
      </w:r>
      <w:r>
        <w:rPr>
          <w:rFonts w:hint="eastAsia" w:ascii="仿宋" w:hAnsi="仿宋" w:eastAsia="仿宋"/>
          <w:sz w:val="32"/>
          <w:szCs w:val="32"/>
        </w:rPr>
        <w:t>万元。本项目专项必须高标准、高要求、保质保量完成该项目工作，严格执行行业相关标准，确保了县城区排水管网及其附属设施正常运行，达到了预期效果。</w:t>
      </w:r>
    </w:p>
    <w:p>
      <w:pPr>
        <w:spacing w:line="610" w:lineRule="exact"/>
        <w:ind w:firstLine="640" w:firstLineChars="200"/>
        <w:rPr>
          <w:rFonts w:eastAsia="仿宋_GB2312"/>
          <w:sz w:val="32"/>
          <w:szCs w:val="32"/>
        </w:rPr>
      </w:pPr>
      <w:r>
        <w:rPr>
          <w:rFonts w:hint="eastAsia" w:eastAsia="仿宋_GB2312"/>
          <w:sz w:val="32"/>
          <w:szCs w:val="32"/>
        </w:rPr>
        <w:t>（四）项目效益情况。</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仿宋" w:hAnsi="仿宋" w:eastAsia="仿宋"/>
          <w:kern w:val="2"/>
          <w:sz w:val="32"/>
          <w:szCs w:val="32"/>
        </w:rPr>
        <w:t>（1）项目预期目标完成程度。项目目标实现，建立了资金来源稳定、管理运行规范、效果明显，能够为城区市民提供良好的生态生活环境。</w:t>
      </w:r>
    </w:p>
    <w:p>
      <w:pPr>
        <w:pStyle w:val="8"/>
        <w:widowControl/>
        <w:shd w:val="clear" w:color="auto" w:fill="FFFFFF"/>
        <w:spacing w:beforeAutospacing="0" w:afterAutospacing="0" w:line="33" w:lineRule="atLeast"/>
        <w:ind w:firstLine="420"/>
        <w:jc w:val="both"/>
        <w:rPr>
          <w:rFonts w:ascii="仿宋" w:hAnsi="仿宋" w:eastAsia="仿宋"/>
          <w:kern w:val="2"/>
          <w:sz w:val="32"/>
          <w:szCs w:val="32"/>
        </w:rPr>
      </w:pPr>
      <w:r>
        <w:rPr>
          <w:rFonts w:hint="eastAsia" w:ascii="仿宋" w:hAnsi="仿宋" w:eastAsia="仿宋"/>
          <w:kern w:val="2"/>
          <w:sz w:val="32"/>
          <w:szCs w:val="32"/>
        </w:rPr>
        <w:t>（2）项目实施对经济和社会的影响。通过项目实施有效保护了江河的水体质量，逐步改善生态环境。</w:t>
      </w:r>
    </w:p>
    <w:p>
      <w:pPr>
        <w:spacing w:line="610" w:lineRule="exact"/>
        <w:ind w:firstLine="640" w:firstLineChars="200"/>
        <w:rPr>
          <w:rFonts w:hint="eastAsia" w:ascii="黑体" w:hAnsi="黑体" w:eastAsia="黑体" w:cs="黑体"/>
          <w:sz w:val="32"/>
          <w:szCs w:val="32"/>
        </w:rPr>
      </w:pPr>
      <w:r>
        <w:rPr>
          <w:rFonts w:hint="eastAsia" w:ascii="黑体" w:hAnsi="黑体" w:eastAsia="黑体" w:cs="黑体"/>
          <w:sz w:val="32"/>
          <w:szCs w:val="32"/>
        </w:rPr>
        <w:t>五、主要经验及做法、存在的问题及原因分析</w:t>
      </w:r>
    </w:p>
    <w:p>
      <w:pPr>
        <w:pStyle w:val="9"/>
        <w:ind w:left="493" w:firstLine="960" w:firstLineChars="300"/>
        <w:rPr>
          <w:rFonts w:ascii="楷体" w:hAnsi="楷体" w:eastAsia="楷体" w:cs="楷体"/>
          <w:kern w:val="0"/>
          <w:sz w:val="32"/>
          <w:szCs w:val="32"/>
        </w:rPr>
      </w:pPr>
      <w:r>
        <w:rPr>
          <w:rFonts w:hint="eastAsia" w:ascii="楷体" w:hAnsi="楷体" w:eastAsia="楷体" w:cs="楷体"/>
          <w:kern w:val="0"/>
          <w:sz w:val="32"/>
          <w:szCs w:val="32"/>
        </w:rPr>
        <w:t>主要经验：</w:t>
      </w:r>
      <w:r>
        <w:rPr>
          <w:rFonts w:hint="eastAsia" w:ascii="仿宋" w:hAnsi="仿宋" w:eastAsia="仿宋"/>
          <w:sz w:val="32"/>
          <w:szCs w:val="32"/>
        </w:rPr>
        <w:t>在实施县城区排水管网及其附属设施维护工作过程中，我们严格规范财务和稽查考核制度，建立起了一套完善的申报审批监督管理工作制度，形成了严格、科学、高效的运行机制。一是科学制定标准。根据在深入调研、广泛论证的基础上，确定符合实际的《华容县城乡建设事务中心2023年县城区污水管网维护管理工作实施方案》并加以实施。二是严格审批程序。本项目资金审批严格依据相关制度执行。通过严格规范的工作程序，确保资金专款专用。三是规范资金运行。每季城乡建设事务中心提出用款申请，财政核拨，专款专用，确保资金及时足额到位。</w:t>
      </w:r>
    </w:p>
    <w:p>
      <w:pPr>
        <w:pStyle w:val="9"/>
        <w:ind w:left="493" w:firstLine="0"/>
        <w:rPr>
          <w:rFonts w:ascii="仿宋" w:hAnsi="仿宋" w:eastAsia="仿宋"/>
          <w:sz w:val="32"/>
          <w:szCs w:val="32"/>
        </w:rPr>
      </w:pPr>
      <w:r>
        <w:rPr>
          <w:rFonts w:hint="eastAsia" w:ascii="楷体" w:hAnsi="楷体" w:eastAsia="楷体" w:cs="楷体"/>
          <w:kern w:val="0"/>
          <w:sz w:val="32"/>
          <w:szCs w:val="32"/>
        </w:rPr>
        <w:t>存在的问题：</w:t>
      </w:r>
      <w:r>
        <w:rPr>
          <w:rFonts w:hint="eastAsia" w:ascii="仿宋" w:hAnsi="仿宋" w:eastAsia="仿宋"/>
          <w:sz w:val="32"/>
          <w:szCs w:val="32"/>
        </w:rPr>
        <w:t>随着城区排水管网及其附属设施建设时间越来越久，城区面积的不断扩大，管理难度也越来越大。</w:t>
      </w:r>
    </w:p>
    <w:p>
      <w:pPr>
        <w:pStyle w:val="2"/>
      </w:pPr>
      <w:r>
        <w:rPr>
          <w:rFonts w:hint="eastAsia" w:ascii="楷体" w:hAnsi="楷体" w:eastAsia="楷体" w:cs="楷体"/>
          <w:kern w:val="0"/>
          <w:sz w:val="32"/>
          <w:szCs w:val="32"/>
        </w:rPr>
        <w:t>建议和意见：</w:t>
      </w:r>
      <w:r>
        <w:rPr>
          <w:rFonts w:hint="eastAsia" w:ascii="仿宋" w:hAnsi="仿宋" w:eastAsia="仿宋"/>
          <w:sz w:val="32"/>
          <w:szCs w:val="32"/>
        </w:rPr>
        <w:t>建议增加城区污水管网维护专项资金。</w:t>
      </w:r>
    </w:p>
    <w:p>
      <w:pPr>
        <w:widowControl/>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六、其他需要说明的问题</w:t>
      </w:r>
    </w:p>
    <w:p>
      <w:pPr>
        <w:rPr>
          <w:rFonts w:ascii="黑体" w:hAnsi="黑体" w:eastAsia="黑体" w:cs="黑体"/>
          <w:sz w:val="30"/>
          <w:szCs w:val="30"/>
        </w:rPr>
      </w:pPr>
      <w:r>
        <w:rPr>
          <w:rFonts w:hint="eastAsia" w:ascii="黑体" w:hAnsi="黑体" w:eastAsia="黑体" w:cs="黑体"/>
          <w:sz w:val="30"/>
          <w:szCs w:val="30"/>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附件6</w:t>
      </w:r>
    </w:p>
    <w:p>
      <w:pPr>
        <w:spacing w:afterLines="50"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7"/>
        <w:tblW w:w="854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5"/>
        <w:gridCol w:w="901"/>
        <w:gridCol w:w="1104"/>
        <w:gridCol w:w="941"/>
        <w:gridCol w:w="976"/>
        <w:gridCol w:w="1100"/>
        <w:gridCol w:w="598"/>
        <w:gridCol w:w="702"/>
        <w:gridCol w:w="131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2910" w:type="dxa"/>
            <w:gridSpan w:val="3"/>
            <w:vAlign w:val="center"/>
          </w:tcPr>
          <w:p>
            <w:pPr>
              <w:jc w:val="center"/>
              <w:rPr>
                <w:rFonts w:ascii="黑体" w:hAnsi="黑体" w:eastAsia="黑体" w:cs="黑体"/>
                <w:szCs w:val="21"/>
              </w:rPr>
            </w:pPr>
            <w:r>
              <w:rPr>
                <w:rFonts w:hint="eastAsia" w:ascii="黑体" w:hAnsi="黑体" w:eastAsia="黑体" w:cs="黑体"/>
                <w:szCs w:val="21"/>
              </w:rPr>
              <w:t>项目支出名称</w:t>
            </w:r>
          </w:p>
        </w:tc>
        <w:tc>
          <w:tcPr>
            <w:tcW w:w="5633" w:type="dxa"/>
            <w:gridSpan w:val="6"/>
            <w:vAlign w:val="center"/>
          </w:tcPr>
          <w:p>
            <w:pPr>
              <w:jc w:val="center"/>
              <w:rPr>
                <w:rFonts w:ascii="黑体" w:hAnsi="黑体" w:eastAsia="黑体" w:cs="黑体"/>
                <w:szCs w:val="21"/>
              </w:rPr>
            </w:pPr>
            <w:r>
              <w:rPr>
                <w:rFonts w:hint="eastAsia" w:ascii="黑体" w:hAnsi="黑体" w:eastAsia="黑体" w:cs="黑体"/>
                <w:szCs w:val="21"/>
              </w:rPr>
              <w:t>县城区排水管网及其附属设施日常管理、维护和养护项目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Align w:val="center"/>
          </w:tcPr>
          <w:p>
            <w:pPr>
              <w:jc w:val="center"/>
              <w:rPr>
                <w:rFonts w:ascii="黑体" w:hAnsi="黑体" w:eastAsia="黑体" w:cs="黑体"/>
                <w:szCs w:val="21"/>
              </w:rPr>
            </w:pPr>
            <w:r>
              <w:rPr>
                <w:rFonts w:hint="eastAsia" w:ascii="黑体" w:hAnsi="黑体" w:eastAsia="黑体" w:cs="黑体"/>
                <w:szCs w:val="21"/>
              </w:rPr>
              <w:t>主管</w:t>
            </w:r>
          </w:p>
          <w:p>
            <w:pPr>
              <w:jc w:val="center"/>
              <w:rPr>
                <w:rFonts w:ascii="黑体" w:hAnsi="黑体" w:eastAsia="黑体" w:cs="黑体"/>
                <w:szCs w:val="21"/>
              </w:rPr>
            </w:pPr>
            <w:r>
              <w:rPr>
                <w:rFonts w:hint="eastAsia" w:ascii="黑体" w:hAnsi="黑体" w:eastAsia="黑体" w:cs="黑体"/>
                <w:szCs w:val="21"/>
              </w:rPr>
              <w:t>部门</w:t>
            </w:r>
          </w:p>
        </w:tc>
        <w:tc>
          <w:tcPr>
            <w:tcW w:w="3922" w:type="dxa"/>
            <w:gridSpan w:val="4"/>
            <w:vAlign w:val="center"/>
          </w:tcPr>
          <w:p>
            <w:pPr>
              <w:jc w:val="center"/>
              <w:rPr>
                <w:rFonts w:hint="eastAsia" w:ascii="黑体" w:hAnsi="黑体" w:eastAsia="黑体" w:cs="黑体"/>
                <w:szCs w:val="21"/>
                <w:lang w:eastAsia="zh-CN"/>
              </w:rPr>
            </w:pPr>
            <w:r>
              <w:rPr>
                <w:rFonts w:hint="eastAsia" w:ascii="黑体" w:hAnsi="黑体" w:eastAsia="黑体" w:cs="黑体"/>
                <w:szCs w:val="21"/>
                <w:lang w:eastAsia="zh-CN"/>
              </w:rPr>
              <w:t>华容县住房和城乡建设局</w:t>
            </w:r>
          </w:p>
        </w:tc>
        <w:tc>
          <w:tcPr>
            <w:tcW w:w="1100" w:type="dxa"/>
            <w:vAlign w:val="center"/>
          </w:tcPr>
          <w:p>
            <w:pPr>
              <w:jc w:val="center"/>
              <w:rPr>
                <w:rFonts w:ascii="黑体" w:hAnsi="黑体" w:eastAsia="黑体" w:cs="黑体"/>
                <w:szCs w:val="21"/>
              </w:rPr>
            </w:pPr>
            <w:r>
              <w:rPr>
                <w:rFonts w:hint="eastAsia" w:ascii="黑体" w:hAnsi="黑体" w:eastAsia="黑体" w:cs="黑体"/>
                <w:szCs w:val="21"/>
              </w:rPr>
              <w:t>实施单位</w:t>
            </w:r>
          </w:p>
        </w:tc>
        <w:tc>
          <w:tcPr>
            <w:tcW w:w="2616" w:type="dxa"/>
            <w:gridSpan w:val="3"/>
            <w:vAlign w:val="center"/>
          </w:tcPr>
          <w:p>
            <w:pPr>
              <w:jc w:val="center"/>
              <w:rPr>
                <w:rFonts w:hint="eastAsia" w:ascii="黑体" w:hAnsi="黑体" w:eastAsia="黑体" w:cs="黑体"/>
                <w:szCs w:val="21"/>
                <w:lang w:eastAsia="zh-CN"/>
              </w:rPr>
            </w:pPr>
            <w:r>
              <w:rPr>
                <w:rFonts w:hint="eastAsia" w:ascii="黑体" w:hAnsi="黑体" w:eastAsia="黑体" w:cs="黑体"/>
                <w:szCs w:val="21"/>
                <w:lang w:eastAsia="zh-CN"/>
              </w:rPr>
              <w:t>华容县城乡建设事务中心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项目资金（万元）</w:t>
            </w:r>
          </w:p>
        </w:tc>
        <w:tc>
          <w:tcPr>
            <w:tcW w:w="2005" w:type="dxa"/>
            <w:gridSpan w:val="2"/>
            <w:vAlign w:val="center"/>
          </w:tcPr>
          <w:p>
            <w:pPr>
              <w:jc w:val="center"/>
              <w:rPr>
                <w:rFonts w:ascii="黑体" w:hAnsi="黑体" w:eastAsia="黑体" w:cs="黑体"/>
                <w:szCs w:val="21"/>
              </w:rPr>
            </w:pPr>
          </w:p>
        </w:tc>
        <w:tc>
          <w:tcPr>
            <w:tcW w:w="941" w:type="dxa"/>
            <w:vAlign w:val="center"/>
          </w:tcPr>
          <w:p>
            <w:pPr>
              <w:jc w:val="center"/>
              <w:rPr>
                <w:rFonts w:ascii="黑体" w:hAnsi="黑体" w:eastAsia="黑体" w:cs="黑体"/>
                <w:szCs w:val="21"/>
              </w:rPr>
            </w:pPr>
            <w:r>
              <w:rPr>
                <w:rFonts w:hint="eastAsia" w:ascii="黑体" w:hAnsi="黑体" w:eastAsia="黑体" w:cs="黑体"/>
                <w:szCs w:val="21"/>
              </w:rPr>
              <w:t>年初</w:t>
            </w:r>
          </w:p>
          <w:p>
            <w:pPr>
              <w:jc w:val="center"/>
              <w:rPr>
                <w:rFonts w:ascii="黑体" w:hAnsi="黑体" w:eastAsia="黑体" w:cs="黑体"/>
                <w:szCs w:val="21"/>
              </w:rPr>
            </w:pPr>
            <w:r>
              <w:rPr>
                <w:rFonts w:hint="eastAsia" w:ascii="黑体" w:hAnsi="黑体" w:eastAsia="黑体" w:cs="黑体"/>
                <w:szCs w:val="21"/>
              </w:rPr>
              <w:t>预算数</w:t>
            </w:r>
          </w:p>
        </w:tc>
        <w:tc>
          <w:tcPr>
            <w:tcW w:w="976" w:type="dxa"/>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预算数</w:t>
            </w:r>
          </w:p>
        </w:tc>
        <w:tc>
          <w:tcPr>
            <w:tcW w:w="1100" w:type="dxa"/>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执行数</w:t>
            </w:r>
          </w:p>
        </w:tc>
        <w:tc>
          <w:tcPr>
            <w:tcW w:w="598" w:type="dxa"/>
            <w:vAlign w:val="center"/>
          </w:tcPr>
          <w:p>
            <w:pPr>
              <w:jc w:val="center"/>
              <w:rPr>
                <w:rFonts w:ascii="黑体" w:hAnsi="黑体" w:eastAsia="黑体" w:cs="黑体"/>
                <w:szCs w:val="21"/>
              </w:rPr>
            </w:pPr>
            <w:r>
              <w:rPr>
                <w:rFonts w:hint="eastAsia" w:ascii="黑体" w:hAnsi="黑体" w:eastAsia="黑体" w:cs="黑体"/>
                <w:szCs w:val="21"/>
              </w:rPr>
              <w:t>分值</w:t>
            </w:r>
          </w:p>
        </w:tc>
        <w:tc>
          <w:tcPr>
            <w:tcW w:w="702" w:type="dxa"/>
            <w:vAlign w:val="center"/>
          </w:tcPr>
          <w:p>
            <w:pPr>
              <w:jc w:val="center"/>
              <w:rPr>
                <w:rFonts w:ascii="黑体" w:hAnsi="黑体" w:eastAsia="黑体" w:cs="黑体"/>
                <w:szCs w:val="21"/>
              </w:rPr>
            </w:pPr>
            <w:r>
              <w:rPr>
                <w:rFonts w:hint="eastAsia" w:ascii="黑体" w:hAnsi="黑体" w:eastAsia="黑体" w:cs="黑体"/>
                <w:szCs w:val="21"/>
              </w:rPr>
              <w:t>执行率</w:t>
            </w:r>
          </w:p>
        </w:tc>
        <w:tc>
          <w:tcPr>
            <w:tcW w:w="1316" w:type="dxa"/>
            <w:vAlign w:val="center"/>
          </w:tcPr>
          <w:p>
            <w:pPr>
              <w:jc w:val="center"/>
              <w:rPr>
                <w:rFonts w:ascii="黑体" w:hAnsi="黑体" w:eastAsia="黑体" w:cs="黑体"/>
                <w:szCs w:val="21"/>
              </w:rPr>
            </w:pPr>
            <w:r>
              <w:rPr>
                <w:rFonts w:hint="eastAsia" w:ascii="黑体" w:hAnsi="黑体" w:eastAsia="黑体" w:cs="黑体"/>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2005" w:type="dxa"/>
            <w:gridSpan w:val="2"/>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年度资金总额</w:t>
            </w:r>
          </w:p>
        </w:tc>
        <w:tc>
          <w:tcPr>
            <w:tcW w:w="941"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97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130</w:t>
            </w:r>
          </w:p>
        </w:tc>
        <w:tc>
          <w:tcPr>
            <w:tcW w:w="1100"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130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02"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131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2005" w:type="dxa"/>
            <w:gridSpan w:val="2"/>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其中：当年财政拨款</w:t>
            </w:r>
          </w:p>
        </w:tc>
        <w:tc>
          <w:tcPr>
            <w:tcW w:w="941"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97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130</w:t>
            </w:r>
          </w:p>
        </w:tc>
        <w:tc>
          <w:tcPr>
            <w:tcW w:w="1100"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130</w:t>
            </w:r>
          </w:p>
        </w:tc>
        <w:tc>
          <w:tcPr>
            <w:tcW w:w="598" w:type="dxa"/>
            <w:vAlign w:val="center"/>
          </w:tcPr>
          <w:p>
            <w:pPr>
              <w:jc w:val="center"/>
              <w:rPr>
                <w:rFonts w:asciiTheme="minorEastAsia" w:hAnsiTheme="minorEastAsia" w:eastAsiaTheme="minorEastAsia" w:cstheme="minorEastAsia"/>
                <w:szCs w:val="21"/>
              </w:rPr>
            </w:pPr>
          </w:p>
        </w:tc>
        <w:tc>
          <w:tcPr>
            <w:tcW w:w="702" w:type="dxa"/>
            <w:vAlign w:val="center"/>
          </w:tcPr>
          <w:p>
            <w:pPr>
              <w:jc w:val="center"/>
              <w:rPr>
                <w:rFonts w:asciiTheme="minorEastAsia" w:hAnsiTheme="minorEastAsia" w:eastAsiaTheme="minorEastAsia" w:cstheme="minorEastAsia"/>
                <w:szCs w:val="21"/>
              </w:rPr>
            </w:pP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2005" w:type="dxa"/>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上年结转资金</w:t>
            </w:r>
          </w:p>
        </w:tc>
        <w:tc>
          <w:tcPr>
            <w:tcW w:w="941"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976"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1100" w:type="dxa"/>
            <w:vAlign w:val="center"/>
          </w:tcPr>
          <w:p>
            <w:pPr>
              <w:jc w:val="center"/>
              <w:rPr>
                <w:rFonts w:asciiTheme="minorEastAsia" w:hAnsiTheme="minorEastAsia" w:eastAsiaTheme="minorEastAsia" w:cstheme="minorEastAsia"/>
                <w:szCs w:val="21"/>
              </w:rPr>
            </w:pPr>
          </w:p>
        </w:tc>
        <w:tc>
          <w:tcPr>
            <w:tcW w:w="598" w:type="dxa"/>
            <w:vAlign w:val="center"/>
          </w:tcPr>
          <w:p>
            <w:pPr>
              <w:jc w:val="center"/>
              <w:rPr>
                <w:rFonts w:asciiTheme="minorEastAsia" w:hAnsiTheme="minorEastAsia" w:eastAsiaTheme="minorEastAsia" w:cstheme="minorEastAsia"/>
                <w:szCs w:val="21"/>
              </w:rPr>
            </w:pPr>
          </w:p>
        </w:tc>
        <w:tc>
          <w:tcPr>
            <w:tcW w:w="702" w:type="dxa"/>
            <w:vAlign w:val="center"/>
          </w:tcPr>
          <w:p>
            <w:pPr>
              <w:jc w:val="center"/>
              <w:rPr>
                <w:rFonts w:asciiTheme="minorEastAsia" w:hAnsiTheme="minorEastAsia" w:eastAsiaTheme="minorEastAsia" w:cstheme="minorEastAsia"/>
                <w:szCs w:val="21"/>
              </w:rPr>
            </w:pP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continue"/>
            <w:tcBorders>
              <w:top w:val="nil"/>
            </w:tcBorders>
            <w:vAlign w:val="center"/>
          </w:tcPr>
          <w:p>
            <w:pPr>
              <w:jc w:val="center"/>
              <w:rPr>
                <w:rFonts w:asciiTheme="minorEastAsia" w:hAnsiTheme="minorEastAsia" w:eastAsiaTheme="minorEastAsia" w:cstheme="minorEastAsia"/>
                <w:szCs w:val="21"/>
              </w:rPr>
            </w:pPr>
          </w:p>
        </w:tc>
        <w:tc>
          <w:tcPr>
            <w:tcW w:w="2005" w:type="dxa"/>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其他资金</w:t>
            </w:r>
          </w:p>
        </w:tc>
        <w:tc>
          <w:tcPr>
            <w:tcW w:w="941"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976" w:type="dxa"/>
            <w:vAlign w:val="center"/>
          </w:tcPr>
          <w:p>
            <w:pPr>
              <w:jc w:val="center"/>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0</w:t>
            </w:r>
          </w:p>
        </w:tc>
        <w:tc>
          <w:tcPr>
            <w:tcW w:w="1100" w:type="dxa"/>
            <w:vAlign w:val="center"/>
          </w:tcPr>
          <w:p>
            <w:pPr>
              <w:jc w:val="center"/>
              <w:rPr>
                <w:rFonts w:asciiTheme="minorEastAsia" w:hAnsiTheme="minorEastAsia" w:eastAsiaTheme="minorEastAsia" w:cstheme="minorEastAsia"/>
                <w:szCs w:val="21"/>
              </w:rPr>
            </w:pPr>
          </w:p>
        </w:tc>
        <w:tc>
          <w:tcPr>
            <w:tcW w:w="598"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p>
        </w:tc>
        <w:tc>
          <w:tcPr>
            <w:tcW w:w="131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年度总</w:t>
            </w:r>
          </w:p>
          <w:p>
            <w:pPr>
              <w:jc w:val="center"/>
              <w:rPr>
                <w:rFonts w:ascii="黑体" w:hAnsi="黑体" w:eastAsia="黑体" w:cs="黑体"/>
                <w:szCs w:val="21"/>
              </w:rPr>
            </w:pPr>
            <w:r>
              <w:rPr>
                <w:rFonts w:hint="eastAsia" w:ascii="黑体" w:hAnsi="黑体" w:eastAsia="黑体" w:cs="黑体"/>
                <w:szCs w:val="21"/>
              </w:rPr>
              <w:t>体目标</w:t>
            </w:r>
          </w:p>
        </w:tc>
        <w:tc>
          <w:tcPr>
            <w:tcW w:w="3922" w:type="dxa"/>
            <w:gridSpan w:val="4"/>
            <w:vAlign w:val="center"/>
          </w:tcPr>
          <w:p>
            <w:pPr>
              <w:jc w:val="center"/>
              <w:rPr>
                <w:rFonts w:ascii="黑体" w:hAnsi="黑体" w:eastAsia="黑体" w:cs="黑体"/>
                <w:szCs w:val="21"/>
              </w:rPr>
            </w:pPr>
            <w:r>
              <w:rPr>
                <w:rFonts w:hint="eastAsia" w:ascii="黑体" w:hAnsi="黑体" w:eastAsia="黑体" w:cs="黑体"/>
                <w:szCs w:val="21"/>
              </w:rPr>
              <w:t>预期目标</w:t>
            </w:r>
          </w:p>
        </w:tc>
        <w:tc>
          <w:tcPr>
            <w:tcW w:w="3716" w:type="dxa"/>
            <w:gridSpan w:val="4"/>
            <w:vAlign w:val="center"/>
          </w:tcPr>
          <w:p>
            <w:pPr>
              <w:jc w:val="center"/>
              <w:rPr>
                <w:rFonts w:ascii="黑体" w:hAnsi="黑体" w:eastAsia="黑体" w:cs="黑体"/>
                <w:szCs w:val="21"/>
              </w:rPr>
            </w:pPr>
            <w:r>
              <w:rPr>
                <w:rFonts w:hint="eastAsia" w:ascii="黑体" w:hAnsi="黑体" w:eastAsia="黑体" w:cs="黑体"/>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905" w:type="dxa"/>
            <w:vMerge w:val="continue"/>
            <w:tcBorders>
              <w:top w:val="nil"/>
            </w:tcBorders>
            <w:vAlign w:val="center"/>
          </w:tcPr>
          <w:p>
            <w:pPr>
              <w:jc w:val="center"/>
              <w:rPr>
                <w:rFonts w:asciiTheme="minorEastAsia" w:hAnsiTheme="minorEastAsia" w:eastAsiaTheme="minorEastAsia" w:cstheme="minorEastAsia"/>
                <w:szCs w:val="21"/>
              </w:rPr>
            </w:pPr>
          </w:p>
        </w:tc>
        <w:tc>
          <w:tcPr>
            <w:tcW w:w="3922" w:type="dxa"/>
            <w:gridSpan w:val="4"/>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评价华容县城区污水管网及其附属设施维护项目存在的必要性、项目管理是否规范、项目绩效是否突出，从而为专项决策提供依据，进一步规范专项管理，提高县城区排水管网及其附属设施日常维护资金使用绩效。</w:t>
            </w:r>
          </w:p>
        </w:tc>
        <w:tc>
          <w:tcPr>
            <w:tcW w:w="3716" w:type="dxa"/>
            <w:gridSpan w:val="4"/>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项目管理做到了管理规范，操作阳光透明，运行有序高效，服务态度优质，群众满意度高，确保了城区排水畅。</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68" w:hRule="atLeast"/>
        </w:trPr>
        <w:tc>
          <w:tcPr>
            <w:tcW w:w="905" w:type="dxa"/>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901" w:type="dxa"/>
            <w:vAlign w:val="center"/>
          </w:tcPr>
          <w:p>
            <w:pPr>
              <w:jc w:val="center"/>
              <w:rPr>
                <w:rFonts w:ascii="黑体" w:hAnsi="黑体" w:eastAsia="黑体" w:cs="黑体"/>
                <w:szCs w:val="21"/>
              </w:rPr>
            </w:pPr>
            <w:r>
              <w:rPr>
                <w:rFonts w:hint="eastAsia" w:ascii="黑体" w:hAnsi="黑体" w:eastAsia="黑体" w:cs="黑体"/>
                <w:szCs w:val="21"/>
              </w:rPr>
              <w:t>一级指标</w:t>
            </w:r>
          </w:p>
        </w:tc>
        <w:tc>
          <w:tcPr>
            <w:tcW w:w="1104" w:type="dxa"/>
            <w:vAlign w:val="center"/>
          </w:tcPr>
          <w:p>
            <w:pPr>
              <w:jc w:val="center"/>
              <w:rPr>
                <w:rFonts w:ascii="黑体" w:hAnsi="黑体" w:eastAsia="黑体" w:cs="黑体"/>
                <w:szCs w:val="21"/>
              </w:rPr>
            </w:pPr>
            <w:r>
              <w:rPr>
                <w:rFonts w:hint="eastAsia" w:ascii="黑体" w:hAnsi="黑体" w:eastAsia="黑体" w:cs="黑体"/>
                <w:szCs w:val="21"/>
              </w:rPr>
              <w:t>二级指标</w:t>
            </w:r>
          </w:p>
        </w:tc>
        <w:tc>
          <w:tcPr>
            <w:tcW w:w="941" w:type="dxa"/>
            <w:vAlign w:val="center"/>
          </w:tcPr>
          <w:p>
            <w:pPr>
              <w:jc w:val="center"/>
              <w:rPr>
                <w:rFonts w:ascii="黑体" w:hAnsi="黑体" w:eastAsia="黑体" w:cs="黑体"/>
                <w:szCs w:val="21"/>
              </w:rPr>
            </w:pPr>
            <w:r>
              <w:rPr>
                <w:rFonts w:hint="eastAsia" w:ascii="黑体" w:hAnsi="黑体" w:eastAsia="黑体" w:cs="黑体"/>
                <w:szCs w:val="21"/>
              </w:rPr>
              <w:t>三级指标</w:t>
            </w:r>
          </w:p>
        </w:tc>
        <w:tc>
          <w:tcPr>
            <w:tcW w:w="976" w:type="dxa"/>
            <w:vAlign w:val="center"/>
          </w:tcPr>
          <w:p>
            <w:pPr>
              <w:jc w:val="center"/>
              <w:rPr>
                <w:rFonts w:ascii="黑体" w:hAnsi="黑体" w:eastAsia="黑体" w:cs="黑体"/>
                <w:szCs w:val="21"/>
              </w:rPr>
            </w:pPr>
            <w:r>
              <w:rPr>
                <w:rFonts w:hint="eastAsia" w:ascii="黑体" w:hAnsi="黑体" w:eastAsia="黑体" w:cs="黑体"/>
                <w:szCs w:val="21"/>
              </w:rPr>
              <w:t>年度</w:t>
            </w:r>
          </w:p>
          <w:p>
            <w:pPr>
              <w:jc w:val="center"/>
              <w:rPr>
                <w:rFonts w:ascii="黑体" w:hAnsi="黑体" w:eastAsia="黑体" w:cs="黑体"/>
                <w:szCs w:val="21"/>
              </w:rPr>
            </w:pPr>
            <w:r>
              <w:rPr>
                <w:rFonts w:hint="eastAsia" w:ascii="黑体" w:hAnsi="黑体" w:eastAsia="黑体" w:cs="黑体"/>
                <w:szCs w:val="21"/>
              </w:rPr>
              <w:t>指标值</w:t>
            </w:r>
          </w:p>
        </w:tc>
        <w:tc>
          <w:tcPr>
            <w:tcW w:w="1100" w:type="dxa"/>
            <w:vAlign w:val="center"/>
          </w:tcPr>
          <w:p>
            <w:pPr>
              <w:jc w:val="center"/>
              <w:rPr>
                <w:rFonts w:ascii="黑体" w:hAnsi="黑体" w:eastAsia="黑体" w:cs="黑体"/>
                <w:szCs w:val="21"/>
              </w:rPr>
            </w:pPr>
            <w:r>
              <w:rPr>
                <w:rFonts w:hint="eastAsia" w:ascii="黑体" w:hAnsi="黑体" w:eastAsia="黑体" w:cs="黑体"/>
                <w:szCs w:val="21"/>
              </w:rPr>
              <w:t>实际</w:t>
            </w:r>
          </w:p>
          <w:p>
            <w:pPr>
              <w:jc w:val="center"/>
              <w:rPr>
                <w:rFonts w:ascii="黑体" w:hAnsi="黑体" w:eastAsia="黑体" w:cs="黑体"/>
                <w:szCs w:val="21"/>
              </w:rPr>
            </w:pPr>
            <w:r>
              <w:rPr>
                <w:rFonts w:hint="eastAsia" w:ascii="黑体" w:hAnsi="黑体" w:eastAsia="黑体" w:cs="黑体"/>
                <w:szCs w:val="21"/>
              </w:rPr>
              <w:t>完成值</w:t>
            </w:r>
          </w:p>
        </w:tc>
        <w:tc>
          <w:tcPr>
            <w:tcW w:w="598" w:type="dxa"/>
            <w:vAlign w:val="center"/>
          </w:tcPr>
          <w:p>
            <w:pPr>
              <w:jc w:val="center"/>
              <w:rPr>
                <w:rFonts w:ascii="黑体" w:hAnsi="黑体" w:eastAsia="黑体" w:cs="黑体"/>
                <w:szCs w:val="21"/>
              </w:rPr>
            </w:pPr>
            <w:r>
              <w:rPr>
                <w:rFonts w:hint="eastAsia" w:ascii="黑体" w:hAnsi="黑体" w:eastAsia="黑体" w:cs="黑体"/>
                <w:szCs w:val="21"/>
              </w:rPr>
              <w:t>分值</w:t>
            </w:r>
          </w:p>
        </w:tc>
        <w:tc>
          <w:tcPr>
            <w:tcW w:w="702" w:type="dxa"/>
            <w:vAlign w:val="center"/>
          </w:tcPr>
          <w:p>
            <w:pPr>
              <w:jc w:val="center"/>
              <w:rPr>
                <w:rFonts w:ascii="黑体" w:hAnsi="黑体" w:eastAsia="黑体" w:cs="黑体"/>
                <w:szCs w:val="21"/>
              </w:rPr>
            </w:pPr>
            <w:r>
              <w:rPr>
                <w:rFonts w:hint="eastAsia" w:ascii="黑体" w:hAnsi="黑体" w:eastAsia="黑体" w:cs="黑体"/>
                <w:szCs w:val="21"/>
              </w:rPr>
              <w:t>自评</w:t>
            </w:r>
          </w:p>
          <w:p>
            <w:pPr>
              <w:jc w:val="center"/>
              <w:rPr>
                <w:rFonts w:ascii="黑体" w:hAnsi="黑体" w:eastAsia="黑体" w:cs="黑体"/>
                <w:szCs w:val="21"/>
              </w:rPr>
            </w:pPr>
            <w:r>
              <w:rPr>
                <w:rFonts w:hint="eastAsia" w:ascii="黑体" w:hAnsi="黑体" w:eastAsia="黑体" w:cs="黑体"/>
                <w:szCs w:val="21"/>
              </w:rPr>
              <w:t>得分</w:t>
            </w:r>
          </w:p>
        </w:tc>
        <w:tc>
          <w:tcPr>
            <w:tcW w:w="1316" w:type="dxa"/>
            <w:vAlign w:val="center"/>
          </w:tcPr>
          <w:p>
            <w:pPr>
              <w:jc w:val="center"/>
              <w:rPr>
                <w:rFonts w:ascii="黑体" w:hAnsi="黑体" w:eastAsia="黑体" w:cs="黑体"/>
                <w:szCs w:val="21"/>
              </w:rPr>
            </w:pPr>
            <w:r>
              <w:rPr>
                <w:rFonts w:hint="eastAsia" w:ascii="黑体" w:hAnsi="黑体" w:eastAsia="黑体" w:cs="黑体"/>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905" w:type="dxa"/>
            <w:vMerge w:val="continue"/>
            <w:textDirection w:val="tbRlV"/>
            <w:vAlign w:val="center"/>
          </w:tcPr>
          <w:p>
            <w:pPr>
              <w:jc w:val="center"/>
              <w:rPr>
                <w:rFonts w:ascii="黑体" w:hAnsi="黑体" w:eastAsia="黑体" w:cs="黑体"/>
                <w:szCs w:val="21"/>
              </w:rPr>
            </w:pPr>
          </w:p>
        </w:tc>
        <w:tc>
          <w:tcPr>
            <w:tcW w:w="901" w:type="dxa"/>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产</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出</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1104" w:type="dxa"/>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941" w:type="dxa"/>
            <w:vAlign w:val="center"/>
          </w:tcPr>
          <w:p>
            <w:pPr>
              <w:jc w:val="center"/>
              <w:rPr>
                <w:rFonts w:hint="eastAsia" w:eastAsia="宋体" w:asciiTheme="minorEastAsia" w:hAnsiTheme="minorEastAsia" w:cstheme="minorEastAsia"/>
                <w:szCs w:val="21"/>
                <w:lang w:eastAsia="zh-CN"/>
              </w:rPr>
            </w:pPr>
            <w:r>
              <w:rPr>
                <w:rFonts w:hint="eastAsia" w:ascii="宋体" w:hAnsi="宋体" w:eastAsia="宋体" w:cs="宋体"/>
                <w:i w:val="0"/>
                <w:caps w:val="0"/>
                <w:color w:val="000000"/>
                <w:spacing w:val="0"/>
                <w:sz w:val="21"/>
                <w:szCs w:val="21"/>
                <w:shd w:val="clear" w:fill="BAE7FF"/>
              </w:rPr>
              <w:t>城市下水道</w:t>
            </w:r>
            <w:r>
              <w:rPr>
                <w:rFonts w:hint="eastAsia" w:ascii="宋体" w:hAnsi="宋体" w:cs="宋体"/>
                <w:i w:val="0"/>
                <w:caps w:val="0"/>
                <w:color w:val="000000"/>
                <w:spacing w:val="0"/>
                <w:sz w:val="21"/>
                <w:szCs w:val="21"/>
                <w:shd w:val="clear" w:fill="BAE7FF"/>
                <w:lang w:eastAsia="zh-CN"/>
              </w:rPr>
              <w:t>维建清淤工作及时</w:t>
            </w:r>
          </w:p>
        </w:tc>
        <w:tc>
          <w:tcPr>
            <w:tcW w:w="97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1100"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905" w:type="dxa"/>
            <w:vMerge w:val="continue"/>
            <w:textDirection w:val="tbRlV"/>
            <w:vAlign w:val="center"/>
          </w:tcPr>
          <w:p>
            <w:pPr>
              <w:jc w:val="center"/>
              <w:rPr>
                <w:rFonts w:ascii="黑体" w:hAnsi="黑体" w:eastAsia="黑体" w:cs="黑体"/>
                <w:szCs w:val="21"/>
              </w:rPr>
            </w:pPr>
          </w:p>
        </w:tc>
        <w:tc>
          <w:tcPr>
            <w:tcW w:w="901" w:type="dxa"/>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04" w:type="dxa"/>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质</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941" w:type="dxa"/>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保障工程质量</w:t>
            </w:r>
          </w:p>
        </w:tc>
        <w:tc>
          <w:tcPr>
            <w:tcW w:w="976"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工程质量通过检测，符合国家要求</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905" w:type="dxa"/>
            <w:vMerge w:val="continue"/>
            <w:textDirection w:val="tbRlV"/>
            <w:vAlign w:val="center"/>
          </w:tcPr>
          <w:p>
            <w:pPr>
              <w:jc w:val="center"/>
              <w:rPr>
                <w:rFonts w:ascii="黑体" w:hAnsi="黑体" w:eastAsia="黑体" w:cs="黑体"/>
                <w:szCs w:val="21"/>
              </w:rPr>
            </w:pPr>
          </w:p>
        </w:tc>
        <w:tc>
          <w:tcPr>
            <w:tcW w:w="901" w:type="dxa"/>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04" w:type="dxa"/>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时</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941"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工程按期完成</w:t>
            </w:r>
          </w:p>
        </w:tc>
        <w:tc>
          <w:tcPr>
            <w:tcW w:w="976"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工程基本提前完成</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901"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1104" w:type="dxa"/>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vAlign w:val="center"/>
          </w:tcPr>
          <w:p>
            <w:pPr>
              <w:jc w:val="center"/>
              <w:rPr>
                <w:rFonts w:asciiTheme="minorEastAsia" w:hAnsiTheme="minorEastAsia" w:eastAsiaTheme="minorEastAsia" w:cstheme="minorEastAsia"/>
                <w:szCs w:val="21"/>
              </w:rPr>
            </w:pPr>
            <w:r>
              <w:rPr>
                <w:rFonts w:hint="eastAsia" w:ascii="宋体" w:hAnsi="宋体" w:cs="宋体"/>
                <w:i w:val="0"/>
                <w:caps w:val="0"/>
                <w:color w:val="000000"/>
                <w:spacing w:val="0"/>
                <w:sz w:val="21"/>
                <w:szCs w:val="21"/>
                <w:shd w:val="clear" w:fill="BAE7FF"/>
                <w:lang w:eastAsia="zh-CN"/>
              </w:rPr>
              <w:t>排水管网</w:t>
            </w:r>
            <w:r>
              <w:rPr>
                <w:rFonts w:hint="eastAsia" w:ascii="宋体" w:hAnsi="宋体" w:eastAsia="宋体" w:cs="宋体"/>
                <w:i w:val="0"/>
                <w:caps w:val="0"/>
                <w:color w:val="000000"/>
                <w:spacing w:val="0"/>
                <w:sz w:val="21"/>
                <w:szCs w:val="21"/>
                <w:shd w:val="clear" w:fill="BAE7FF"/>
              </w:rPr>
              <w:t>基础设施完好率</w:t>
            </w:r>
          </w:p>
        </w:tc>
        <w:tc>
          <w:tcPr>
            <w:tcW w:w="97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95%</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1201"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1104" w:type="dxa"/>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vAlign w:val="center"/>
          </w:tcPr>
          <w:p>
            <w:pPr>
              <w:jc w:val="center"/>
              <w:rPr>
                <w:rFonts w:hint="eastAsia" w:eastAsia="宋体" w:asciiTheme="minorEastAsia" w:hAnsiTheme="minorEastAsia" w:cstheme="minorEastAsia"/>
                <w:szCs w:val="21"/>
                <w:lang w:eastAsia="zh-CN"/>
              </w:rPr>
            </w:pPr>
            <w:r>
              <w:rPr>
                <w:rFonts w:hint="eastAsia" w:ascii="宋体" w:hAnsi="宋体" w:cs="宋体"/>
                <w:i w:val="0"/>
                <w:caps w:val="0"/>
                <w:color w:val="000000"/>
                <w:spacing w:val="0"/>
                <w:sz w:val="21"/>
                <w:szCs w:val="21"/>
                <w:shd w:val="clear" w:fill="BAE7FF"/>
                <w:lang w:eastAsia="zh-CN"/>
              </w:rPr>
              <w:t>排水管网安全排查</w:t>
            </w:r>
            <w:r>
              <w:rPr>
                <w:rFonts w:hint="eastAsia" w:ascii="宋体" w:hAnsi="宋体" w:eastAsia="宋体" w:cs="宋体"/>
                <w:i w:val="0"/>
                <w:caps w:val="0"/>
                <w:color w:val="000000"/>
                <w:spacing w:val="0"/>
                <w:sz w:val="21"/>
                <w:szCs w:val="21"/>
                <w:shd w:val="clear" w:fill="BAE7FF"/>
              </w:rPr>
              <w:t>隐患</w:t>
            </w:r>
            <w:r>
              <w:rPr>
                <w:rFonts w:hint="eastAsia" w:ascii="宋体" w:hAnsi="宋体" w:cs="宋体"/>
                <w:i w:val="0"/>
                <w:caps w:val="0"/>
                <w:color w:val="000000"/>
                <w:spacing w:val="0"/>
                <w:sz w:val="21"/>
                <w:szCs w:val="21"/>
                <w:shd w:val="clear" w:fill="BAE7FF"/>
                <w:lang w:eastAsia="zh-CN"/>
              </w:rPr>
              <w:t>情况</w:t>
            </w:r>
          </w:p>
        </w:tc>
        <w:tc>
          <w:tcPr>
            <w:tcW w:w="976" w:type="dxa"/>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排水官网安全隐患的到及时处理</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1104" w:type="dxa"/>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vAlign w:val="center"/>
          </w:tcPr>
          <w:p>
            <w:pPr>
              <w:jc w:val="center"/>
              <w:rPr>
                <w:rFonts w:asciiTheme="minorEastAsia" w:hAnsiTheme="minorEastAsia" w:eastAsiaTheme="minorEastAsia" w:cstheme="minorEastAsia"/>
                <w:szCs w:val="21"/>
              </w:rPr>
            </w:pPr>
            <w:r>
              <w:rPr>
                <w:rFonts w:hint="eastAsia" w:ascii="宋体" w:hAnsi="宋体" w:eastAsia="宋体" w:cs="宋体"/>
                <w:i w:val="0"/>
                <w:caps w:val="0"/>
                <w:color w:val="000000"/>
                <w:spacing w:val="0"/>
                <w:sz w:val="21"/>
                <w:szCs w:val="21"/>
                <w:shd w:val="clear" w:fill="BAE7FF"/>
              </w:rPr>
              <w:t>施工材料环保性</w:t>
            </w:r>
          </w:p>
        </w:tc>
        <w:tc>
          <w:tcPr>
            <w:tcW w:w="976" w:type="dxa"/>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施工材料符合国家环保要求</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1104" w:type="dxa"/>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影响</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提高居民生活质量</w:t>
            </w:r>
          </w:p>
        </w:tc>
        <w:tc>
          <w:tcPr>
            <w:tcW w:w="976"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提高了居民生活质量，保障城区下水道排水通畅</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（10分）</w:t>
            </w:r>
          </w:p>
        </w:tc>
        <w:tc>
          <w:tcPr>
            <w:tcW w:w="1104" w:type="dxa"/>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服务对象</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受益群众满意度</w:t>
            </w:r>
          </w:p>
        </w:tc>
        <w:tc>
          <w:tcPr>
            <w:tcW w:w="976"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95%</w:t>
            </w:r>
          </w:p>
        </w:tc>
        <w:tc>
          <w:tcPr>
            <w:tcW w:w="1100"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（20分）</w:t>
            </w:r>
          </w:p>
        </w:tc>
        <w:tc>
          <w:tcPr>
            <w:tcW w:w="1104" w:type="dxa"/>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tcBorders>
              <w:left w:val="single" w:color="auto" w:sz="4" w:space="0"/>
            </w:tcBorders>
            <w:vAlign w:val="center"/>
          </w:tcPr>
          <w:p>
            <w:pPr>
              <w:jc w:val="center"/>
              <w:rPr>
                <w:rFonts w:hint="eastAsia" w:eastAsia="宋体" w:asciiTheme="minorEastAsia" w:hAnsiTheme="minorEastAsia" w:cstheme="minorEastAsia"/>
                <w:szCs w:val="21"/>
                <w:lang w:eastAsia="zh-CN"/>
              </w:rPr>
            </w:pPr>
            <w:r>
              <w:rPr>
                <w:rFonts w:hint="eastAsia" w:ascii="宋体" w:hAnsi="宋体" w:eastAsia="宋体" w:cs="宋体"/>
                <w:i w:val="0"/>
                <w:caps w:val="0"/>
                <w:color w:val="000000"/>
                <w:spacing w:val="0"/>
                <w:sz w:val="21"/>
                <w:szCs w:val="21"/>
                <w:shd w:val="clear" w:fill="BAE7FF"/>
              </w:rPr>
              <w:t>工程成本</w:t>
            </w:r>
            <w:r>
              <w:rPr>
                <w:rFonts w:hint="eastAsia" w:ascii="宋体" w:hAnsi="宋体" w:cs="宋体"/>
                <w:i w:val="0"/>
                <w:caps w:val="0"/>
                <w:color w:val="000000"/>
                <w:spacing w:val="0"/>
                <w:sz w:val="21"/>
                <w:szCs w:val="21"/>
                <w:shd w:val="clear" w:fill="BAE7FF"/>
                <w:lang w:eastAsia="zh-CN"/>
              </w:rPr>
              <w:t>控制情况</w:t>
            </w:r>
          </w:p>
        </w:tc>
        <w:tc>
          <w:tcPr>
            <w:tcW w:w="976" w:type="dxa"/>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eastAsia="zh-CN"/>
              </w:rPr>
              <w:t>工程成本小于工程预算数</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1104" w:type="dxa"/>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宋体" w:hAnsi="宋体" w:eastAsia="宋体" w:cs="宋体"/>
                <w:i w:val="0"/>
                <w:caps w:val="0"/>
                <w:color w:val="000000"/>
                <w:spacing w:val="0"/>
                <w:sz w:val="21"/>
                <w:szCs w:val="21"/>
                <w:shd w:val="clear" w:fill="F5F5F5"/>
              </w:rPr>
              <w:t>提高市民的幸福</w:t>
            </w:r>
            <w:r>
              <w:rPr>
                <w:rFonts w:hint="eastAsia" w:ascii="宋体" w:hAnsi="宋体" w:eastAsia="宋体" w:cs="宋体"/>
                <w:i w:val="0"/>
                <w:caps w:val="0"/>
                <w:color w:val="000000"/>
                <w:spacing w:val="0"/>
                <w:sz w:val="21"/>
                <w:szCs w:val="21"/>
                <w:shd w:val="clear" w:fill="BAE7FF"/>
              </w:rPr>
              <w:t>生活指数</w:t>
            </w:r>
          </w:p>
        </w:tc>
        <w:tc>
          <w:tcPr>
            <w:tcW w:w="976" w:type="dxa"/>
            <w:vAlign w:val="center"/>
          </w:tcPr>
          <w:p>
            <w:pPr>
              <w:spacing w:line="260" w:lineRule="exact"/>
              <w:jc w:val="center"/>
              <w:rPr>
                <w:rFonts w:asciiTheme="minorEastAsia" w:hAnsiTheme="minorEastAsia" w:eastAsiaTheme="minorEastAsia" w:cstheme="minorEastAsia"/>
                <w:szCs w:val="21"/>
              </w:rPr>
            </w:pPr>
            <w:r>
              <w:rPr>
                <w:rFonts w:hint="eastAsia" w:ascii="宋体" w:hAnsi="宋体" w:eastAsia="宋体" w:cs="宋体"/>
                <w:i w:val="0"/>
                <w:caps w:val="0"/>
                <w:color w:val="000000"/>
                <w:spacing w:val="0"/>
                <w:sz w:val="21"/>
                <w:szCs w:val="21"/>
                <w:shd w:val="clear" w:fill="F5F5F5"/>
              </w:rPr>
              <w:t>提高市民的幸福生活指数</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905" w:type="dxa"/>
            <w:vMerge w:val="continue"/>
            <w:textDirection w:val="tbRlV"/>
            <w:vAlign w:val="center"/>
          </w:tcPr>
          <w:p>
            <w:pPr>
              <w:jc w:val="center"/>
              <w:rPr>
                <w:rFonts w:asciiTheme="minorEastAsia" w:hAnsiTheme="minorEastAsia" w:eastAsiaTheme="minorEastAsia" w:cstheme="minorEastAsia"/>
                <w:szCs w:val="21"/>
              </w:rPr>
            </w:pPr>
          </w:p>
        </w:tc>
        <w:tc>
          <w:tcPr>
            <w:tcW w:w="901"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1104" w:type="dxa"/>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环境</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941" w:type="dxa"/>
            <w:tcBorders>
              <w:left w:val="single" w:color="auto" w:sz="4" w:space="0"/>
            </w:tcBorders>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提高当地人居环境</w:t>
            </w:r>
          </w:p>
        </w:tc>
        <w:tc>
          <w:tcPr>
            <w:tcW w:w="976" w:type="dxa"/>
            <w:vAlign w:val="center"/>
          </w:tcPr>
          <w:p>
            <w:pPr>
              <w:spacing w:line="260" w:lineRule="exact"/>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提高</w:t>
            </w:r>
            <w:r>
              <w:rPr>
                <w:rFonts w:hint="eastAsia" w:asciiTheme="minorEastAsia" w:hAnsiTheme="minorEastAsia" w:eastAsiaTheme="minorEastAsia" w:cstheme="minorEastAsia"/>
                <w:szCs w:val="21"/>
                <w:lang w:eastAsia="zh-CN"/>
              </w:rPr>
              <w:t>了</w:t>
            </w:r>
            <w:r>
              <w:rPr>
                <w:rFonts w:hint="eastAsia" w:asciiTheme="minorEastAsia" w:hAnsiTheme="minorEastAsia" w:eastAsiaTheme="minorEastAsia" w:cstheme="minorEastAsia"/>
                <w:szCs w:val="21"/>
              </w:rPr>
              <w:t>当地人居环境</w:t>
            </w:r>
          </w:p>
        </w:tc>
        <w:tc>
          <w:tcPr>
            <w:tcW w:w="1100"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100%</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702"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5</w:t>
            </w:r>
          </w:p>
        </w:tc>
        <w:tc>
          <w:tcPr>
            <w:tcW w:w="1316" w:type="dxa"/>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5927" w:type="dxa"/>
            <w:gridSpan w:val="6"/>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总分</w:t>
            </w:r>
          </w:p>
        </w:tc>
        <w:tc>
          <w:tcPr>
            <w:tcW w:w="598" w:type="dxa"/>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702" w:type="dxa"/>
            <w:vAlign w:val="center"/>
          </w:tcPr>
          <w:p>
            <w:pPr>
              <w:jc w:val="center"/>
              <w:rPr>
                <w:rFonts w:asciiTheme="minorEastAsia" w:hAnsiTheme="minorEastAsia" w:eastAsiaTheme="minorEastAsia" w:cstheme="minorEastAsia"/>
                <w:szCs w:val="21"/>
              </w:rPr>
            </w:pPr>
          </w:p>
        </w:tc>
        <w:tc>
          <w:tcPr>
            <w:tcW w:w="1316" w:type="dxa"/>
            <w:vAlign w:val="center"/>
          </w:tcPr>
          <w:p>
            <w:pPr>
              <w:jc w:val="center"/>
              <w:rPr>
                <w:rFonts w:asciiTheme="minorEastAsia" w:hAnsiTheme="minorEastAsia" w:eastAsiaTheme="minorEastAsia" w:cstheme="minorEastAsia"/>
                <w:szCs w:val="21"/>
              </w:rPr>
            </w:pPr>
          </w:p>
        </w:tc>
      </w:tr>
    </w:tbl>
    <w:p>
      <w:r>
        <w:rPr>
          <w:rFonts w:hint="eastAsia"/>
        </w:rPr>
        <w:t>备注：每个一级项目支出一张表。如，业务工作经费，运行维护经费，其他事业发展类资金各一张表。</w:t>
      </w:r>
    </w:p>
    <w:p/>
    <w:p>
      <w:r>
        <w:rPr>
          <w:rFonts w:hint="eastAsia"/>
        </w:rPr>
        <w:t>填表人：</w:t>
      </w:r>
      <w:r>
        <w:rPr>
          <w:rFonts w:hint="eastAsia"/>
          <w:lang w:eastAsia="zh-CN"/>
        </w:rPr>
        <w:t>付思瑶</w:t>
      </w:r>
      <w:r>
        <w:rPr>
          <w:rFonts w:hint="eastAsia"/>
        </w:rPr>
        <w:t xml:space="preserve">  填报日期：</w:t>
      </w:r>
      <w:r>
        <w:rPr>
          <w:rFonts w:hint="eastAsia"/>
          <w:lang w:val="en-US" w:eastAsia="zh-CN"/>
        </w:rPr>
        <w:t>2024.5.31</w:t>
      </w:r>
      <w:r>
        <w:rPr>
          <w:rFonts w:hint="eastAsia"/>
        </w:rPr>
        <w:t xml:space="preserve">     联系电话：</w:t>
      </w:r>
      <w:r>
        <w:rPr>
          <w:rFonts w:hint="eastAsia"/>
          <w:lang w:val="en-US" w:eastAsia="zh-CN"/>
        </w:rPr>
        <w:t>4186299</w:t>
      </w:r>
      <w:r>
        <w:rPr>
          <w:rFonts w:hint="eastAsia"/>
        </w:rPr>
        <w:t xml:space="preserve">  单位负责人签字：</w:t>
      </w:r>
    </w:p>
    <w:p>
      <w:pPr>
        <w:sectPr>
          <w:footerReference r:id="rId10" w:type="default"/>
          <w:pgSz w:w="11905" w:h="16838"/>
          <w:pgMar w:top="1984" w:right="1701" w:bottom="1984" w:left="1701" w:header="850" w:footer="1587" w:gutter="0"/>
          <w:pgNumType w:fmt="numberInDash"/>
          <w:cols w:space="0" w:num="1"/>
          <w:docGrid w:type="lines" w:linePitch="314" w:charSpace="0"/>
        </w:sectPr>
      </w:pPr>
      <w:r>
        <w:rPr>
          <w:sz w:val="22"/>
          <w:szCs w:val="2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附表7</w:t>
      </w:r>
    </w:p>
    <w:p>
      <w:pPr>
        <w:spacing w:line="560" w:lineRule="exact"/>
        <w:jc w:val="center"/>
        <w:rPr>
          <w:rFonts w:eastAsia="方正小标宋_GBK"/>
          <w:sz w:val="36"/>
          <w:szCs w:val="36"/>
        </w:rPr>
      </w:pPr>
      <w:r>
        <w:rPr>
          <w:rFonts w:eastAsia="方正小标宋_GBK"/>
          <w:sz w:val="36"/>
          <w:szCs w:val="36"/>
        </w:rPr>
        <w:t>绩效评价结果征求意见的反馈函</w:t>
      </w:r>
    </w:p>
    <w:p>
      <w:pPr>
        <w:spacing w:line="560" w:lineRule="exact"/>
        <w:jc w:val="center"/>
        <w:rPr>
          <w:rFonts w:ascii="楷体" w:hAnsi="楷体" w:eastAsia="楷体" w:cs="楷体"/>
          <w:sz w:val="24"/>
        </w:rPr>
      </w:pPr>
      <w:r>
        <w:rPr>
          <w:rFonts w:hint="eastAsia" w:ascii="楷体" w:hAnsi="楷体" w:eastAsia="楷体" w:cs="楷体"/>
          <w:sz w:val="24"/>
        </w:rPr>
        <w:t>（重点绩效评价项目用）</w:t>
      </w:r>
    </w:p>
    <w:p>
      <w:pPr>
        <w:spacing w:line="560" w:lineRule="exact"/>
        <w:rPr>
          <w:rFonts w:eastAsia="仿宋_GB2312"/>
          <w:sz w:val="28"/>
          <w:szCs w:val="28"/>
        </w:rPr>
      </w:pP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eastAsia="仿宋_GB2312"/>
          <w:sz w:val="28"/>
          <w:szCs w:val="28"/>
        </w:rPr>
        <w:t>：</w:t>
      </w:r>
    </w:p>
    <w:p>
      <w:pPr>
        <w:spacing w:line="560" w:lineRule="exact"/>
        <w:ind w:firstLine="640" w:firstLineChars="200"/>
        <w:rPr>
          <w:rFonts w:eastAsia="仿宋_GB2312"/>
          <w:sz w:val="32"/>
          <w:szCs w:val="32"/>
        </w:rPr>
      </w:pPr>
      <w:r>
        <w:rPr>
          <w:rFonts w:eastAsia="仿宋_GB2312"/>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0"/>
        <w:tblW w:w="89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7" w:hRule="atLeast"/>
          <w:jc w:val="center"/>
        </w:trPr>
        <w:tc>
          <w:tcPr>
            <w:tcW w:w="8920" w:type="dxa"/>
            <w:vAlign w:val="center"/>
          </w:tcPr>
          <w:p>
            <w:pPr>
              <w:spacing w:line="560" w:lineRule="exact"/>
              <w:ind w:firstLine="560"/>
              <w:jc w:val="center"/>
              <w:rPr>
                <w:rFonts w:eastAsia="黑体"/>
                <w:sz w:val="28"/>
                <w:szCs w:val="28"/>
              </w:rPr>
            </w:pPr>
            <w:r>
              <w:rPr>
                <w:rFonts w:eastAsia="楷体_GB2312"/>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3" w:hRule="atLeast"/>
          <w:jc w:val="center"/>
        </w:trPr>
        <w:tc>
          <w:tcPr>
            <w:tcW w:w="8920" w:type="dxa"/>
          </w:tcPr>
          <w:p>
            <w:pPr>
              <w:spacing w:line="560" w:lineRule="exact"/>
              <w:ind w:firstLine="140" w:firstLineChars="50"/>
              <w:rPr>
                <w:rFonts w:eastAsia="黑体"/>
                <w:sz w:val="28"/>
                <w:szCs w:val="28"/>
              </w:rPr>
            </w:pPr>
            <w:r>
              <w:rPr>
                <w:rFonts w:eastAsia="黑体"/>
                <w:sz w:val="28"/>
                <w:szCs w:val="28"/>
              </w:rPr>
              <w:t>一、对报告中“评价结论”的意见</w:t>
            </w:r>
          </w:p>
          <w:p>
            <w:pPr>
              <w:spacing w:line="560" w:lineRule="exact"/>
              <w:ind w:firstLine="560"/>
              <w:rPr>
                <w:sz w:val="28"/>
                <w:szCs w:val="28"/>
              </w:rPr>
            </w:pPr>
          </w:p>
          <w:p>
            <w:pPr>
              <w:spacing w:line="560" w:lineRule="exact"/>
              <w:ind w:firstLine="560"/>
              <w:rPr>
                <w:sz w:val="28"/>
                <w:szCs w:val="28"/>
              </w:rPr>
            </w:pPr>
          </w:p>
          <w:p>
            <w:pPr>
              <w:spacing w:line="560" w:lineRule="exact"/>
              <w:ind w:firstLine="140" w:firstLineChars="50"/>
              <w:rPr>
                <w:rFonts w:eastAsia="黑体"/>
                <w:sz w:val="28"/>
                <w:szCs w:val="28"/>
              </w:rPr>
            </w:pPr>
            <w:r>
              <w:rPr>
                <w:rFonts w:eastAsia="黑体"/>
                <w:sz w:val="28"/>
                <w:szCs w:val="28"/>
              </w:rPr>
              <w:t>二、对报告中“问题”和“建议”的意见</w:t>
            </w:r>
          </w:p>
          <w:p>
            <w:pPr>
              <w:spacing w:line="560" w:lineRule="exact"/>
              <w:ind w:firstLine="560"/>
              <w:rPr>
                <w:sz w:val="28"/>
                <w:szCs w:val="28"/>
              </w:rPr>
            </w:pPr>
          </w:p>
          <w:p>
            <w:pPr>
              <w:spacing w:line="560" w:lineRule="exact"/>
              <w:ind w:firstLine="560"/>
              <w:rPr>
                <w:sz w:val="28"/>
                <w:szCs w:val="28"/>
              </w:rPr>
            </w:pPr>
          </w:p>
          <w:p>
            <w:pPr>
              <w:spacing w:line="560" w:lineRule="exact"/>
              <w:ind w:firstLine="560"/>
              <w:rPr>
                <w:sz w:val="28"/>
                <w:szCs w:val="28"/>
              </w:rPr>
            </w:pPr>
          </w:p>
          <w:p>
            <w:pPr>
              <w:spacing w:line="560" w:lineRule="exact"/>
              <w:ind w:firstLine="140" w:firstLineChars="50"/>
              <w:rPr>
                <w:rFonts w:eastAsia="黑体"/>
                <w:sz w:val="28"/>
                <w:szCs w:val="28"/>
              </w:rPr>
            </w:pPr>
            <w:r>
              <w:rPr>
                <w:rFonts w:eastAsia="黑体"/>
                <w:sz w:val="28"/>
                <w:szCs w:val="28"/>
              </w:rPr>
              <w:t>三、</w:t>
            </w:r>
            <w:r>
              <w:rPr>
                <w:rFonts w:hint="eastAsia" w:eastAsia="黑体"/>
                <w:sz w:val="28"/>
                <w:szCs w:val="28"/>
              </w:rPr>
              <w:t>其他意见</w:t>
            </w:r>
            <w:r>
              <w:rPr>
                <w:rFonts w:eastAsia="黑体"/>
                <w:sz w:val="28"/>
                <w:szCs w:val="28"/>
              </w:rPr>
              <w:t>或建议</w:t>
            </w:r>
          </w:p>
          <w:p>
            <w:pPr>
              <w:wordWrap w:val="0"/>
              <w:spacing w:line="560" w:lineRule="exact"/>
              <w:ind w:right="1280"/>
              <w:jc w:val="right"/>
              <w:rPr>
                <w:rFonts w:eastAsia="仿宋_GB2312"/>
                <w:sz w:val="28"/>
                <w:szCs w:val="28"/>
              </w:rPr>
            </w:pPr>
          </w:p>
          <w:p>
            <w:pPr>
              <w:pStyle w:val="2"/>
            </w:pPr>
          </w:p>
          <w:p>
            <w:pPr>
              <w:rPr>
                <w:rFonts w:eastAsia="仿宋_GB2312"/>
                <w:sz w:val="28"/>
                <w:szCs w:val="28"/>
              </w:rPr>
            </w:pPr>
          </w:p>
          <w:p>
            <w:pPr>
              <w:pStyle w:val="2"/>
            </w:pPr>
          </w:p>
          <w:p>
            <w:pPr>
              <w:wordWrap w:val="0"/>
              <w:spacing w:line="560" w:lineRule="exact"/>
              <w:ind w:right="1280"/>
              <w:jc w:val="right"/>
              <w:rPr>
                <w:rFonts w:eastAsia="仿宋_GB2312"/>
                <w:sz w:val="28"/>
                <w:szCs w:val="28"/>
              </w:rPr>
            </w:pPr>
            <w:r>
              <w:rPr>
                <w:rFonts w:hint="eastAsia" w:eastAsia="仿宋_GB2312"/>
                <w:sz w:val="28"/>
                <w:szCs w:val="28"/>
              </w:rPr>
              <w:t>单</w:t>
            </w:r>
            <w:r>
              <w:rPr>
                <w:rFonts w:eastAsia="仿宋_GB2312"/>
                <w:sz w:val="28"/>
                <w:szCs w:val="28"/>
              </w:rPr>
              <w:t>位（盖章）</w:t>
            </w:r>
          </w:p>
          <w:p>
            <w:pPr>
              <w:wordWrap w:val="0"/>
              <w:spacing w:line="560" w:lineRule="exact"/>
              <w:ind w:right="1280"/>
              <w:jc w:val="right"/>
              <w:rPr>
                <w:sz w:val="28"/>
                <w:szCs w:val="28"/>
              </w:rPr>
            </w:pPr>
            <w:r>
              <w:rPr>
                <w:rFonts w:eastAsia="仿宋_GB2312"/>
                <w:sz w:val="28"/>
                <w:szCs w:val="28"/>
              </w:rPr>
              <w:t>年   月   日</w:t>
            </w:r>
          </w:p>
        </w:tc>
      </w:tr>
    </w:tbl>
    <w:p>
      <w:pPr>
        <w:spacing w:line="20" w:lineRule="exact"/>
        <w:rPr>
          <w:rFonts w:ascii="黑体" w:hAnsi="宋体" w:eastAsia="黑体" w:cs="黑体"/>
          <w:color w:val="000000"/>
          <w:kern w:val="0"/>
          <w:sz w:val="32"/>
          <w:szCs w:val="32"/>
        </w:rPr>
      </w:pPr>
      <w:r>
        <w:rPr>
          <w:rFonts w:hint="eastAsia" w:ascii="黑体" w:hAnsi="宋体" w:eastAsia="黑体" w:cs="黑体"/>
          <w:color w:val="000000"/>
          <w:kern w:val="0"/>
          <w:sz w:val="32"/>
          <w:szCs w:val="3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附表8</w:t>
      </w:r>
    </w:p>
    <w:p>
      <w:pPr>
        <w:spacing w:line="560" w:lineRule="exact"/>
        <w:jc w:val="center"/>
        <w:rPr>
          <w:rFonts w:eastAsia="方正小标宋_GBK"/>
          <w:sz w:val="36"/>
          <w:szCs w:val="36"/>
        </w:rPr>
      </w:pPr>
      <w:r>
        <w:rPr>
          <w:rFonts w:eastAsia="方正小标宋_GBK"/>
          <w:sz w:val="36"/>
          <w:szCs w:val="36"/>
        </w:rPr>
        <w:t>绩效评价结果整改报告书</w:t>
      </w:r>
    </w:p>
    <w:p>
      <w:pPr>
        <w:spacing w:line="560" w:lineRule="exact"/>
        <w:jc w:val="center"/>
        <w:rPr>
          <w:sz w:val="28"/>
          <w:szCs w:val="28"/>
        </w:rPr>
      </w:pPr>
      <w:r>
        <w:rPr>
          <w:rFonts w:eastAsia="楷体_GB2312"/>
          <w:sz w:val="32"/>
          <w:szCs w:val="32"/>
        </w:rPr>
        <w:t>（参考格式）</w:t>
      </w:r>
    </w:p>
    <w:tbl>
      <w:tblPr>
        <w:tblStyle w:val="10"/>
        <w:tblW w:w="86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sz w:val="24"/>
              </w:rPr>
            </w:pPr>
            <w:r>
              <w:rPr>
                <w:rFonts w:ascii="黑体" w:hAnsi="黑体" w:eastAsia="黑体"/>
                <w:sz w:val="24"/>
              </w:rPr>
              <w:t>预算支出名称</w:t>
            </w:r>
          </w:p>
        </w:tc>
        <w:tc>
          <w:tcPr>
            <w:tcW w:w="6773" w:type="dxa"/>
          </w:tcPr>
          <w:p>
            <w:pPr>
              <w:spacing w:line="560" w:lineRule="exact"/>
              <w:ind w:firstLine="560"/>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sz w:val="24"/>
              </w:rPr>
            </w:pPr>
            <w:r>
              <w:rPr>
                <w:rFonts w:ascii="黑体" w:hAnsi="黑体" w:eastAsia="黑体"/>
                <w:sz w:val="24"/>
              </w:rPr>
              <w:t>评价内容</w:t>
            </w:r>
          </w:p>
        </w:tc>
        <w:tc>
          <w:tcPr>
            <w:tcW w:w="6773" w:type="dxa"/>
          </w:tcPr>
          <w:p>
            <w:pPr>
              <w:spacing w:line="560" w:lineRule="exact"/>
              <w:ind w:firstLine="560"/>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827" w:type="dxa"/>
            <w:vAlign w:val="center"/>
          </w:tcPr>
          <w:p>
            <w:pPr>
              <w:spacing w:line="560" w:lineRule="exact"/>
              <w:jc w:val="center"/>
              <w:rPr>
                <w:rFonts w:ascii="黑体" w:hAnsi="黑体" w:eastAsia="黑体"/>
                <w:sz w:val="24"/>
              </w:rPr>
            </w:pPr>
            <w:r>
              <w:rPr>
                <w:rFonts w:ascii="黑体" w:hAnsi="黑体" w:eastAsia="黑体"/>
                <w:sz w:val="24"/>
              </w:rPr>
              <w:t>联系人及电话</w:t>
            </w:r>
          </w:p>
        </w:tc>
        <w:tc>
          <w:tcPr>
            <w:tcW w:w="6773" w:type="dxa"/>
          </w:tcPr>
          <w:p>
            <w:pPr>
              <w:spacing w:line="560" w:lineRule="exact"/>
              <w:ind w:firstLine="560"/>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9" w:hRule="atLeast"/>
          <w:jc w:val="center"/>
        </w:trPr>
        <w:tc>
          <w:tcPr>
            <w:tcW w:w="8600" w:type="dxa"/>
            <w:gridSpan w:val="2"/>
          </w:tcPr>
          <w:p>
            <w:pPr>
              <w:spacing w:line="560" w:lineRule="exact"/>
              <w:ind w:right="-27" w:rightChars="-13"/>
              <w:jc w:val="center"/>
              <w:rPr>
                <w:sz w:val="24"/>
              </w:rPr>
            </w:pPr>
            <w:r>
              <w:rPr>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90" w:hRule="atLeast"/>
          <w:jc w:val="center"/>
        </w:trPr>
        <w:tc>
          <w:tcPr>
            <w:tcW w:w="1827" w:type="dxa"/>
            <w:vAlign w:val="center"/>
          </w:tcPr>
          <w:p>
            <w:pPr>
              <w:spacing w:line="560" w:lineRule="exact"/>
              <w:ind w:right="-27" w:rightChars="-13"/>
              <w:jc w:val="center"/>
              <w:rPr>
                <w:sz w:val="24"/>
              </w:rPr>
            </w:pPr>
            <w:r>
              <w:rPr>
                <w:rFonts w:hint="eastAsia"/>
                <w:sz w:val="24"/>
              </w:rPr>
              <w:t>单位意见</w:t>
            </w:r>
          </w:p>
        </w:tc>
        <w:tc>
          <w:tcPr>
            <w:tcW w:w="6773" w:type="dxa"/>
            <w:vAlign w:val="bottom"/>
          </w:tcPr>
          <w:p>
            <w:pPr>
              <w:spacing w:line="560" w:lineRule="exact"/>
              <w:ind w:right="-27" w:rightChars="-13"/>
              <w:jc w:val="center"/>
              <w:rPr>
                <w:sz w:val="24"/>
              </w:rPr>
            </w:pPr>
          </w:p>
          <w:p>
            <w:pPr>
              <w:spacing w:line="560" w:lineRule="exact"/>
              <w:ind w:right="-27" w:rightChars="-13"/>
              <w:rPr>
                <w:sz w:val="24"/>
              </w:rPr>
            </w:pPr>
            <w:r>
              <w:rPr>
                <w:rFonts w:hint="eastAsia"/>
                <w:sz w:val="24"/>
              </w:rPr>
              <w:t>单位负责人签名：     单位（盖章）：      年    月    日</w:t>
            </w:r>
          </w:p>
        </w:tc>
      </w:tr>
    </w:tbl>
    <w:p>
      <w:pPr>
        <w:widowControl/>
        <w:spacing w:line="400" w:lineRule="exact"/>
        <w:rPr>
          <w:rFonts w:ascii="黑体" w:hAnsi="黑体" w:eastAsia="黑体" w:cs="黑体"/>
          <w:szCs w:val="21"/>
        </w:rPr>
      </w:pPr>
      <w:r>
        <w:rPr>
          <w:rFonts w:hint="eastAsia" w:ascii="宋体" w:hAnsi="宋体" w:cs="宋体"/>
          <w:b/>
          <w:szCs w:val="21"/>
        </w:rPr>
        <w:t>注</w:t>
      </w:r>
      <w:r>
        <w:rPr>
          <w:rFonts w:hint="eastAsia" w:ascii="宋体" w:hAnsi="宋体" w:cs="宋体"/>
          <w:bCs/>
          <w:szCs w:val="21"/>
        </w:rPr>
        <w:t>：绩效评价结果整改报告书应在收到绩效评价结果反馈意见后30天内交县财政局绩效管理股。</w:t>
      </w:r>
    </w:p>
    <w:sectPr>
      <w:footerReference r:id="rId11" w:type="default"/>
      <w:pgSz w:w="11905" w:h="16838"/>
      <w:pgMar w:top="1984" w:right="1701" w:bottom="1984" w:left="1701" w:header="850" w:footer="1587" w:gutter="0"/>
      <w:pgNumType w:fmt="numberInDash"/>
      <w:cols w:space="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DF6BB00-C453-40D1-AD74-38D467C4F513}"/>
  </w:font>
  <w:font w:name="Arial">
    <w:panose1 w:val="020B0604020202020204"/>
    <w:charset w:val="01"/>
    <w:family w:val="swiss"/>
    <w:pitch w:val="default"/>
    <w:sig w:usb0="E0002AFF" w:usb1="C0007843" w:usb2="00000009" w:usb3="00000000" w:csb0="400001FF" w:csb1="FFFF0000"/>
    <w:embedRegular r:id="rId2" w:fontKey="{255256F3-B2DC-4418-8C76-CF95710F5BF0}"/>
  </w:font>
  <w:font w:name="黑体">
    <w:panose1 w:val="02010609060101010101"/>
    <w:charset w:val="86"/>
    <w:family w:val="auto"/>
    <w:pitch w:val="default"/>
    <w:sig w:usb0="800002BF" w:usb1="38CF7CFA" w:usb2="00000016" w:usb3="00000000" w:csb0="00040001" w:csb1="00000000"/>
    <w:embedRegular r:id="rId3" w:fontKey="{B9A6BD63-36A3-4FC5-A6CE-8A93358408AD}"/>
  </w:font>
  <w:font w:name="Courier New">
    <w:panose1 w:val="02070309020205020404"/>
    <w:charset w:val="01"/>
    <w:family w:val="modern"/>
    <w:pitch w:val="default"/>
    <w:sig w:usb0="E0002AFF" w:usb1="C0007843" w:usb2="00000009" w:usb3="00000000" w:csb0="400001FF" w:csb1="FFFF0000"/>
    <w:embedRegular r:id="rId4" w:fontKey="{FC258E1E-9FA1-4594-B64A-36CF0AD02FEE}"/>
  </w:font>
  <w:font w:name="Symbol">
    <w:panose1 w:val="05050102010706020507"/>
    <w:charset w:val="02"/>
    <w:family w:val="roman"/>
    <w:pitch w:val="default"/>
    <w:sig w:usb0="00000000" w:usb1="00000000" w:usb2="00000000" w:usb3="00000000" w:csb0="80000000" w:csb1="00000000"/>
    <w:embedRegular r:id="rId5" w:fontKey="{104CCD18-CB69-4BCE-BECF-948456129279}"/>
  </w:font>
  <w:font w:name="Calibri">
    <w:panose1 w:val="020F0502020204030204"/>
    <w:charset w:val="00"/>
    <w:family w:val="swiss"/>
    <w:pitch w:val="default"/>
    <w:sig w:usb0="E00002FF" w:usb1="4000ACFF" w:usb2="00000001" w:usb3="00000000" w:csb0="2000019F" w:csb1="00000000"/>
    <w:embedRegular r:id="rId6" w:fontKey="{8594D25B-CCCA-4903-B54D-559D911C2753}"/>
  </w:font>
  <w:font w:name="仿宋">
    <w:panose1 w:val="02010609060101010101"/>
    <w:charset w:val="86"/>
    <w:family w:val="modern"/>
    <w:pitch w:val="default"/>
    <w:sig w:usb0="800002BF" w:usb1="38CF7CFA" w:usb2="00000016" w:usb3="00000000" w:csb0="00040001" w:csb1="00000000"/>
    <w:embedRegular r:id="rId7" w:fontKey="{E95F3F1A-2994-4FF7-9F0C-CB5080173FC1}"/>
  </w:font>
  <w:font w:name="仿宋_GB2312">
    <w:altName w:val="仿宋"/>
    <w:panose1 w:val="00000000000000000000"/>
    <w:charset w:val="86"/>
    <w:family w:val="auto"/>
    <w:pitch w:val="default"/>
    <w:sig w:usb0="00000000" w:usb1="00000000" w:usb2="00000000" w:usb3="00000000" w:csb0="00040000" w:csb1="00000000"/>
    <w:embedRegular r:id="rId8" w:fontKey="{666ABD40-FC1D-4924-AEE3-32AAACEA156F}"/>
  </w:font>
  <w:font w:name="方正小标宋简体">
    <w:altName w:val="Arial Unicode MS"/>
    <w:panose1 w:val="00000000000000000000"/>
    <w:charset w:val="86"/>
    <w:family w:val="auto"/>
    <w:pitch w:val="default"/>
    <w:sig w:usb0="00000000" w:usb1="00000000" w:usb2="00000000" w:usb3="00000000" w:csb0="00040000" w:csb1="00000000"/>
    <w:embedRegular r:id="rId9" w:fontKey="{A7492FC5-21C6-4AEC-BB4F-219263624BDB}"/>
  </w:font>
  <w:font w:name="微软雅黑">
    <w:panose1 w:val="020B0503020204020204"/>
    <w:charset w:val="86"/>
    <w:family w:val="swiss"/>
    <w:pitch w:val="default"/>
    <w:sig w:usb0="80000287" w:usb1="280F3C52" w:usb2="00000016" w:usb3="00000000" w:csb0="0004001F" w:csb1="00000000"/>
    <w:embedRegular r:id="rId10" w:fontKey="{F75A8EA7-9F4B-472E-96CA-312AD1B99A3D}"/>
  </w:font>
  <w:font w:name="华文仿宋">
    <w:panose1 w:val="02010600040101010101"/>
    <w:charset w:val="86"/>
    <w:family w:val="auto"/>
    <w:pitch w:val="default"/>
    <w:sig w:usb0="00000287" w:usb1="080F0000" w:usb2="00000000" w:usb3="00000000" w:csb0="0004009F" w:csb1="DFD70000"/>
    <w:embedRegular r:id="rId11" w:fontKey="{29A97971-C5CC-4534-8A0F-5EF645CD5C11}"/>
  </w:font>
  <w:font w:name="楷体_GB2312">
    <w:altName w:val="楷体"/>
    <w:panose1 w:val="00000000000000000000"/>
    <w:charset w:val="86"/>
    <w:family w:val="auto"/>
    <w:pitch w:val="default"/>
    <w:sig w:usb0="00000000" w:usb1="00000000" w:usb2="00000000" w:usb3="00000000" w:csb0="00040000" w:csb1="00000000"/>
    <w:embedRegular r:id="rId12" w:fontKey="{A33DCE00-0066-4EF4-B074-9C57664AF9C1}"/>
  </w:font>
  <w:font w:name="___WRD_EMBED_SUB_39">
    <w:panose1 w:val="02010609030101010101"/>
    <w:charset w:val="86"/>
    <w:family w:val="auto"/>
    <w:pitch w:val="default"/>
    <w:sig w:usb0="00000000" w:usb1="00000000" w:usb2="00000000" w:usb3="00000000" w:csb0="00000000" w:csb1="00000000"/>
    <w:embedRegular r:id="rId13" w:fontKey="{DD0DAA83-A007-489E-A097-B85BE088906F}"/>
  </w:font>
  <w:font w:name="方正小标宋_GBK">
    <w:altName w:val="Arial Unicode MS"/>
    <w:panose1 w:val="00000000000000000000"/>
    <w:charset w:val="86"/>
    <w:family w:val="script"/>
    <w:pitch w:val="default"/>
    <w:sig w:usb0="00000000" w:usb1="00000000" w:usb2="00000000" w:usb3="00000000" w:csb0="00040000" w:csb1="00000000"/>
    <w:embedRegular r:id="rId14" w:fontKey="{D5AB2795-6CA2-40DD-A7B8-8EA1C54D97C8}"/>
  </w:font>
  <w:font w:name="楷体">
    <w:panose1 w:val="02010609060101010101"/>
    <w:charset w:val="86"/>
    <w:family w:val="modern"/>
    <w:pitch w:val="default"/>
    <w:sig w:usb0="800002BF" w:usb1="38CF7CFA" w:usb2="00000016" w:usb3="00000000" w:csb0="00040001" w:csb1="00000000"/>
    <w:embedRegular r:id="rId15" w:fontKey="{A7BC1CC1-3486-4BD5-81ED-03456DF8855F}"/>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jc w:val="center"/>
      <w:rPr>
        <w:sz w:val="28"/>
        <w:szCs w:val="28"/>
      </w:rPr>
    </w:pPr>
    <w:r>
      <w:rPr>
        <w:sz w:val="28"/>
      </w:rPr>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path/>
          <v:fill on="f" focussize="0,0"/>
          <v:stroke on="f" weight="0.5pt" joinstyle="miter"/>
          <v:imagedata o:title=""/>
          <o:lock v:ext="edit"/>
          <v:textbox inset="0mm,0mm,0mm,0mm" style="mso-fit-shape-to-text:t;">
            <w:txbxContent>
              <w:p>
                <w:pPr>
                  <w:pStyle w:val="6"/>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- 10 -</w:t>
                </w:r>
                <w:r>
                  <w:rPr>
                    <w:rFonts w:eastAsia="华文仿宋"/>
                    <w:sz w:val="32"/>
                    <w:szCs w:val="32"/>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8576"/>
      <w:rPr>
        <w:sz w:val="28"/>
        <w:szCs w:val="28"/>
      </w:rPr>
    </w:pPr>
    <w:r>
      <w:rPr>
        <w:sz w:val="28"/>
      </w:rPr>
      <w:pict>
        <v:shape id="_x0000_s3075" o:spid="_x0000_s3075"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path/>
          <v:fill on="f" focussize="0,0"/>
          <v:stroke on="f" weight="0.5pt" joinstyle="miter"/>
          <v:imagedata o:title=""/>
          <o:lock v:ext="edit"/>
          <v:textbox inset="0mm,0mm,0mm,0mm" style="mso-fit-shape-to-text:t;">
            <w:txbxContent>
              <w:p>
                <w:pPr>
                  <w:pStyle w:val="6"/>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- 11 -</w:t>
                </w:r>
                <w:r>
                  <w:rPr>
                    <w:rFonts w:hint="eastAsia" w:ascii="华文仿宋" w:hAnsi="华文仿宋" w:eastAsia="华文仿宋" w:cs="华文仿宋"/>
                    <w:sz w:val="28"/>
                    <w:szCs w:val="28"/>
                  </w:rPr>
                  <w:fldChar w:fldCharType="end"/>
                </w: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w:pict>
        <v:shape id="_x0000_s3074" o:spid="_x0000_s3074"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path/>
          <v:fill on="f" focussize="0,0"/>
          <v:stroke on="f" weight="0.5pt" joinstyle="miter"/>
          <v:imagedata o:title=""/>
          <o:lock v:ext="edit"/>
          <v:textbox inset="0mm,0mm,0mm,0mm" style="mso-fit-shape-to-text:t;">
            <w:txbxContent>
              <w:p>
                <w:pPr>
                  <w:pStyle w:val="6"/>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- 15 -</w:t>
                </w:r>
                <w:r>
                  <w:rPr>
                    <w:rFonts w:eastAsia="华文仿宋"/>
                    <w:sz w:val="32"/>
                    <w:szCs w:val="32"/>
                  </w:rP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w:pict>
        <v:shape id="_x0000_s3073" o:spid="_x0000_s3073"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path/>
          <v:fill on="f" focussize="0,0"/>
          <v:stroke on="f" weight="0.5pt" joinstyle="miter"/>
          <v:imagedata o:title=""/>
          <o:lock v:ext="edit"/>
          <v:textbox inset="0mm,0mm,0mm,0mm" style="mso-fit-shape-to-text:t;">
            <w:txbxContent>
              <w:p>
                <w:pPr>
                  <w:pStyle w:val="6"/>
                  <w:ind w:left="525" w:leftChars="250" w:right="525" w:rightChars="250"/>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- 23 -</w:t>
                </w:r>
                <w:r>
                  <w:rPr>
                    <w:rFonts w:hint="eastAsia" w:ascii="华文仿宋" w:hAnsi="华文仿宋" w:eastAsia="华文仿宋" w:cs="华文仿宋"/>
                    <w:sz w:val="28"/>
                    <w:szCs w:val="28"/>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81360"/>
    <w:multiLevelType w:val="singleLevel"/>
    <w:tmpl w:val="04B81360"/>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1,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2"/>
  </w:compat>
  <w:docVars>
    <w:docVar w:name="commondata" w:val="eyJoZGlkIjoiZDQzZjc5NTllMGFiYmY5NmVhMTllZTJlYTQ3YTVjMjgifQ=="/>
  </w:docVars>
  <w:rsids>
    <w:rsidRoot w:val="0CCB7736"/>
    <w:rsid w:val="00040149"/>
    <w:rsid w:val="00047FEF"/>
    <w:rsid w:val="000A3906"/>
    <w:rsid w:val="000F76C1"/>
    <w:rsid w:val="001776F1"/>
    <w:rsid w:val="002201B5"/>
    <w:rsid w:val="003074A2"/>
    <w:rsid w:val="00530958"/>
    <w:rsid w:val="0065446C"/>
    <w:rsid w:val="006F0A16"/>
    <w:rsid w:val="0076063D"/>
    <w:rsid w:val="00773328"/>
    <w:rsid w:val="00821883"/>
    <w:rsid w:val="008B0873"/>
    <w:rsid w:val="00917857"/>
    <w:rsid w:val="00951882"/>
    <w:rsid w:val="00A07C10"/>
    <w:rsid w:val="00A755C2"/>
    <w:rsid w:val="00C65858"/>
    <w:rsid w:val="00C847E8"/>
    <w:rsid w:val="00CB0F0D"/>
    <w:rsid w:val="00D06DD6"/>
    <w:rsid w:val="00E87E6E"/>
    <w:rsid w:val="011D2710"/>
    <w:rsid w:val="016A347B"/>
    <w:rsid w:val="01B42948"/>
    <w:rsid w:val="01BF20E7"/>
    <w:rsid w:val="01E4322D"/>
    <w:rsid w:val="021138F7"/>
    <w:rsid w:val="02B50488"/>
    <w:rsid w:val="0338470A"/>
    <w:rsid w:val="033C7E22"/>
    <w:rsid w:val="034822A9"/>
    <w:rsid w:val="03D86621"/>
    <w:rsid w:val="04EE6171"/>
    <w:rsid w:val="05315F6B"/>
    <w:rsid w:val="05395EA9"/>
    <w:rsid w:val="054E58C7"/>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6C39D7"/>
    <w:rsid w:val="0EAB7397"/>
    <w:rsid w:val="0EF755B3"/>
    <w:rsid w:val="0F17035E"/>
    <w:rsid w:val="0F4E168D"/>
    <w:rsid w:val="0F7A0392"/>
    <w:rsid w:val="0FAF3959"/>
    <w:rsid w:val="0FD26E31"/>
    <w:rsid w:val="1020625B"/>
    <w:rsid w:val="11404466"/>
    <w:rsid w:val="11837AA9"/>
    <w:rsid w:val="11963ADD"/>
    <w:rsid w:val="11EB0F5C"/>
    <w:rsid w:val="11F20483"/>
    <w:rsid w:val="12123C76"/>
    <w:rsid w:val="123926B8"/>
    <w:rsid w:val="12831010"/>
    <w:rsid w:val="129038DB"/>
    <w:rsid w:val="13441D7E"/>
    <w:rsid w:val="136F31F8"/>
    <w:rsid w:val="138750E0"/>
    <w:rsid w:val="1396506E"/>
    <w:rsid w:val="13D82A59"/>
    <w:rsid w:val="140E6961"/>
    <w:rsid w:val="15604228"/>
    <w:rsid w:val="15A620D3"/>
    <w:rsid w:val="16A3369E"/>
    <w:rsid w:val="17114A8B"/>
    <w:rsid w:val="176B77A7"/>
    <w:rsid w:val="178536BD"/>
    <w:rsid w:val="193150F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563D54"/>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6C93036"/>
    <w:rsid w:val="277A77CA"/>
    <w:rsid w:val="28043432"/>
    <w:rsid w:val="284A2254"/>
    <w:rsid w:val="29165294"/>
    <w:rsid w:val="292635E7"/>
    <w:rsid w:val="292F1467"/>
    <w:rsid w:val="29786927"/>
    <w:rsid w:val="297B51B4"/>
    <w:rsid w:val="29B575FF"/>
    <w:rsid w:val="29E40467"/>
    <w:rsid w:val="29F527E2"/>
    <w:rsid w:val="2A9A1E2C"/>
    <w:rsid w:val="2BF35971"/>
    <w:rsid w:val="2C487650"/>
    <w:rsid w:val="2C5A7AC4"/>
    <w:rsid w:val="2CAD1112"/>
    <w:rsid w:val="2E4F43C0"/>
    <w:rsid w:val="2EC7368E"/>
    <w:rsid w:val="2EDC05D9"/>
    <w:rsid w:val="2F240CAA"/>
    <w:rsid w:val="2F5137B6"/>
    <w:rsid w:val="2FF62815"/>
    <w:rsid w:val="30FB4B41"/>
    <w:rsid w:val="31621165"/>
    <w:rsid w:val="322E1E8E"/>
    <w:rsid w:val="323C5548"/>
    <w:rsid w:val="33235CE2"/>
    <w:rsid w:val="33F22F3B"/>
    <w:rsid w:val="359F2200"/>
    <w:rsid w:val="35A42962"/>
    <w:rsid w:val="3658756B"/>
    <w:rsid w:val="367A0610"/>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0F24F3"/>
    <w:rsid w:val="4156470B"/>
    <w:rsid w:val="41943ACE"/>
    <w:rsid w:val="42521D88"/>
    <w:rsid w:val="425D4066"/>
    <w:rsid w:val="430118BA"/>
    <w:rsid w:val="43173FD4"/>
    <w:rsid w:val="43B27D8E"/>
    <w:rsid w:val="44143822"/>
    <w:rsid w:val="44654A12"/>
    <w:rsid w:val="44E421C9"/>
    <w:rsid w:val="45320384"/>
    <w:rsid w:val="457C5F26"/>
    <w:rsid w:val="463F60FC"/>
    <w:rsid w:val="4716830A"/>
    <w:rsid w:val="47BF53CA"/>
    <w:rsid w:val="48B126BB"/>
    <w:rsid w:val="49CF255F"/>
    <w:rsid w:val="4A133F49"/>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663E24"/>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C986325"/>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2F6CD2"/>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4B52B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465956"/>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EB251DC"/>
    <w:rsid w:val="7EFC3B57"/>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99" w:semiHidden="0" w:name="footnote text"/>
    <w:lsdException w:uiPriority="99" w:name="annotation text"/>
    <w:lsdException w:qFormat="1" w:unhideWhenUsed="0" w:uiPriority="99" w:semiHidden="0" w:name="header"/>
    <w:lsdException w:qFormat="1" w:unhideWhenUsed="0" w:uiPriority="0"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semiHidden="0"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2">
    <w:name w:val="Default Paragraph Font"/>
    <w:unhideWhenUsed/>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2">
    <w:name w:val="footnote text"/>
    <w:basedOn w:val="1"/>
    <w:next w:val="1"/>
    <w:link w:val="19"/>
    <w:qFormat/>
    <w:uiPriority w:val="99"/>
    <w:pPr>
      <w:snapToGrid w:val="0"/>
      <w:jc w:val="left"/>
    </w:pPr>
    <w:rPr>
      <w:rFonts w:ascii="仿宋" w:hAnsi="仿宋" w:eastAsia="仿宋"/>
      <w:sz w:val="32"/>
      <w:szCs w:val="32"/>
    </w:rPr>
  </w:style>
  <w:style w:type="paragraph" w:styleId="4">
    <w:name w:val="Body Text"/>
    <w:basedOn w:val="1"/>
    <w:semiHidden/>
    <w:qFormat/>
    <w:uiPriority w:val="0"/>
    <w:rPr>
      <w:rFonts w:ascii="仿宋" w:hAnsi="仿宋" w:eastAsia="仿宋" w:cs="仿宋"/>
      <w:sz w:val="31"/>
      <w:szCs w:val="31"/>
      <w:lang w:eastAsia="en-US"/>
    </w:rPr>
  </w:style>
  <w:style w:type="paragraph" w:styleId="5">
    <w:name w:val="Body Text Indent"/>
    <w:basedOn w:val="1"/>
    <w:semiHidden/>
    <w:qFormat/>
    <w:uiPriority w:val="0"/>
    <w:pPr>
      <w:ind w:left="659" w:leftChars="314"/>
    </w:pPr>
    <w:rPr>
      <w:rFonts w:ascii="仿宋_GB2312" w:eastAsia="仿宋_GB2312"/>
      <w:sz w:val="24"/>
    </w:rPr>
  </w:style>
  <w:style w:type="paragraph" w:styleId="6">
    <w:name w:val="footer"/>
    <w:basedOn w:val="1"/>
    <w:link w:val="14"/>
    <w:qFormat/>
    <w:uiPriority w:val="0"/>
    <w:pPr>
      <w:tabs>
        <w:tab w:val="center" w:pos="4153"/>
        <w:tab w:val="right" w:pos="8306"/>
      </w:tabs>
      <w:snapToGrid w:val="0"/>
      <w:jc w:val="left"/>
    </w:pPr>
    <w:rPr>
      <w:sz w:val="18"/>
      <w:szCs w:val="18"/>
    </w:rPr>
  </w:style>
  <w:style w:type="paragraph" w:styleId="7">
    <w:name w:val="header"/>
    <w:basedOn w:val="1"/>
    <w:link w:val="15"/>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Normal (Web)"/>
    <w:basedOn w:val="1"/>
    <w:semiHidden/>
    <w:unhideWhenUsed/>
    <w:uiPriority w:val="99"/>
    <w:pPr>
      <w:spacing w:beforeAutospacing="1" w:afterAutospacing="1"/>
      <w:jc w:val="left"/>
    </w:pPr>
    <w:rPr>
      <w:kern w:val="0"/>
      <w:sz w:val="24"/>
    </w:rPr>
  </w:style>
  <w:style w:type="paragraph" w:styleId="9">
    <w:name w:val="Body Text First Indent 2"/>
    <w:basedOn w:val="5"/>
    <w:semiHidden/>
    <w:qFormat/>
    <w:uiPriority w:val="0"/>
    <w:pPr>
      <w:spacing w:after="120"/>
      <w:ind w:left="283" w:leftChars="0" w:firstLine="210"/>
    </w:pPr>
    <w:rPr>
      <w:rFonts w:ascii="Times New Roman" w:eastAsia="宋体"/>
      <w:sz w:val="21"/>
    </w:rPr>
  </w:style>
  <w:style w:type="table" w:styleId="11">
    <w:name w:val="Table Grid"/>
    <w:basedOn w:val="10"/>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3">
    <w:name w:val="page number"/>
    <w:basedOn w:val="12"/>
    <w:qFormat/>
    <w:uiPriority w:val="99"/>
    <w:rPr>
      <w:rFonts w:cs="Times New Roman"/>
    </w:rPr>
  </w:style>
  <w:style w:type="character" w:customStyle="1" w:styleId="14">
    <w:name w:val="页脚 Char"/>
    <w:basedOn w:val="12"/>
    <w:link w:val="6"/>
    <w:semiHidden/>
    <w:qFormat/>
    <w:uiPriority w:val="99"/>
    <w:rPr>
      <w:sz w:val="18"/>
      <w:szCs w:val="18"/>
    </w:rPr>
  </w:style>
  <w:style w:type="character" w:customStyle="1" w:styleId="15">
    <w:name w:val="页眉 Char"/>
    <w:basedOn w:val="12"/>
    <w:link w:val="7"/>
    <w:semiHidden/>
    <w:qFormat/>
    <w:uiPriority w:val="99"/>
    <w:rPr>
      <w:sz w:val="18"/>
      <w:szCs w:val="18"/>
    </w:rPr>
  </w:style>
  <w:style w:type="paragraph" w:styleId="16">
    <w:name w:val="List Paragraph"/>
    <w:basedOn w:val="1"/>
    <w:qFormat/>
    <w:uiPriority w:val="99"/>
    <w:pPr>
      <w:ind w:firstLine="420" w:firstLineChars="200"/>
    </w:pPr>
    <w:rPr>
      <w:rFonts w:ascii="Calibri" w:hAnsi="Calibri"/>
      <w:szCs w:val="22"/>
    </w:rPr>
  </w:style>
  <w:style w:type="table" w:customStyle="1" w:styleId="17">
    <w:name w:val="Table Normal"/>
    <w:semiHidden/>
    <w:unhideWhenUsed/>
    <w:qFormat/>
    <w:uiPriority w:val="0"/>
    <w:tblPr>
      <w:tblLayout w:type="fixed"/>
      <w:tblCellMar>
        <w:top w:w="0" w:type="dxa"/>
        <w:left w:w="0" w:type="dxa"/>
        <w:bottom w:w="0" w:type="dxa"/>
        <w:right w:w="0" w:type="dxa"/>
      </w:tblCellMar>
    </w:tblPr>
  </w:style>
  <w:style w:type="paragraph" w:customStyle="1" w:styleId="18">
    <w:name w:val="Table Text"/>
    <w:basedOn w:val="1"/>
    <w:semiHidden/>
    <w:qFormat/>
    <w:uiPriority w:val="0"/>
    <w:rPr>
      <w:rFonts w:ascii="Arial" w:hAnsi="Arial" w:eastAsia="Arial" w:cs="Arial"/>
      <w:szCs w:val="21"/>
      <w:lang w:eastAsia="en-US"/>
    </w:rPr>
  </w:style>
  <w:style w:type="character" w:customStyle="1" w:styleId="19">
    <w:name w:val="脚注文本 Char"/>
    <w:basedOn w:val="12"/>
    <w:link w:val="2"/>
    <w:uiPriority w:val="99"/>
    <w:rPr>
      <w:rFonts w:ascii="仿宋" w:hAnsi="仿宋" w:eastAsia="仿宋"/>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Info spid="_x0000_s3075"/>
    <customShpInfo spid="_x0000_s3074"/>
    <customShpInfo spid="_x0000_s307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17</Pages>
  <Words>3582</Words>
  <Characters>1518</Characters>
  <Lines>12</Lines>
  <Paragraphs>10</Paragraphs>
  <TotalTime>14</TotalTime>
  <ScaleCrop>false</ScaleCrop>
  <LinksUpToDate>false</LinksUpToDate>
  <CharactersWithSpaces>5090</CharactersWithSpaces>
  <Application>WPS Office_11.1.0.8919_F1E327BC-269C-435d-A152-05C5408002CA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2024-06-03T08:03:00Z</cp:lastPrinted>
  <dcterms:modified xsi:type="dcterms:W3CDTF">2024-06-03T08:41:47Z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2052-11.1.0.8919</vt:lpwstr>
  </property>
  <property fmtid="{D5CDD505-2E9C-101B-9397-08002B2CF9AE}" pid="3" name="KSOSaveFontToCloudKey">
    <vt:lpwstr>386772509_embed</vt:lpwstr>
  </property>
  <property fmtid="{D5CDD505-2E9C-101B-9397-08002B2CF9AE}" pid="4" name="ICV">
    <vt:lpwstr>F96CC6F13C934D6E834055B675BCA8AB_13</vt:lpwstr>
  </property>
</Properties>
</file>